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241A" w:rsidRDefault="005B241A">
      <w:r>
        <w:t>GELEZEN IN BRUSSELSE ARCHIEVEN….over Boxtel e.o.</w:t>
      </w:r>
    </w:p>
    <w:p w:rsidR="005B241A" w:rsidRDefault="005B241A">
      <w:r>
        <w:t>Henk Beijers te Vught</w:t>
      </w:r>
    </w:p>
    <w:p w:rsidR="005B241A" w:rsidRDefault="005B241A"/>
    <w:p w:rsidR="005B241A" w:rsidRDefault="005B241A">
      <w:pPr>
        <w:rPr>
          <w:sz w:val="22"/>
        </w:rPr>
      </w:pPr>
      <w:r>
        <w:rPr>
          <w:sz w:val="22"/>
        </w:rPr>
        <w:t xml:space="preserve">Op het rijksarchief van Noord Brabant bevinden zich een groot aantal microfiches van te Brussel verfilmde archiefbestanden. Brussel was destijds het administratieve centrum van de Zuidelijke Nederlanden. </w:t>
      </w:r>
    </w:p>
    <w:p w:rsidR="005B241A" w:rsidRDefault="005B241A">
      <w:pPr>
        <w:rPr>
          <w:sz w:val="22"/>
        </w:rPr>
      </w:pPr>
      <w:r>
        <w:rPr>
          <w:sz w:val="22"/>
        </w:rPr>
        <w:t>In onderstaand artikel volgen enkele acten die afkomstig zijn uit de zgn. remissieboeken over de periode 1556-1648. Elk remissieboek heeft een apart inventarisnummer nl. lopend van 645 tot en met 663. Over de periode vóór 1556 is desti</w:t>
      </w:r>
      <w:r>
        <w:rPr>
          <w:sz w:val="22"/>
        </w:rPr>
        <w:t xml:space="preserve">jds over de inventarisnummers 632-644 een globale index gemaakt door Dhr. Ton Kappelhof. </w:t>
      </w:r>
    </w:p>
    <w:p w:rsidR="005B241A" w:rsidRDefault="005B241A">
      <w:pPr>
        <w:rPr>
          <w:sz w:val="22"/>
        </w:rPr>
      </w:pPr>
      <w:r>
        <w:rPr>
          <w:sz w:val="22"/>
        </w:rPr>
        <w:t xml:space="preserve">De opbouw van dit archiefbestand is heel eenvoudig. Elk boek kan weer verdeeld zijn over diverse microfiches. Zo betekent bv. 648.4.fol.115 : inventarisnummer 648, fiche 4 en daarvan folio 115. Het toegangsnummer van al die archiefbestanden, bekend onder de noemer ‘rekenkamer delen’, is 1107. Iemand die een ander om het leven had gebracht, kon in Brussel remissie of gratie aanvragen, zeker als vast stond, dat uit pure </w:t>
      </w:r>
      <w:r>
        <w:rPr>
          <w:sz w:val="22"/>
        </w:rPr>
        <w:t>zelfverdediging gehandeld was. Alvorens een remissiebrief te verlenen, moest men wel weten hoe de juiste toedracht was geweest. Daarom geven dit soort acten zoveel details. In dezelfde boeken vindt men soms ook octrooibrieven en legitimatiebrieven. Een octrooi voor bv. de verkoop van stukken grond uit de gemeenschappelijke heide, de oprichting van een molen, de stichting van een beurs etc. ! Iemand die buitenechtelijk was verwekt en een wettelijk testament wilde laten opmaken, kon dat niet zo lang de onwett</w:t>
      </w:r>
      <w:r>
        <w:rPr>
          <w:sz w:val="22"/>
        </w:rPr>
        <w:t>ige geboorte nog een rol speelde. Pas als men een wettige en dus geldige legitimatiebrief had ontvangen, was het zinvol een testament op te maken of kon men delen in de nagelaten goederen van de ouders. Nu zijn de originele acten niet direct voor publicatie bestemd vanwege het oude en soms ook moeilijke rechterlijke taalgebruik. Daarom heb ik de moeite genomen om, naast de authentieke teksten, ook een populairdere versie te maken, meer in artikelvorm. Die zijn bv. gemakkelijker te plaatsen in een heemkundeb</w:t>
      </w:r>
      <w:r>
        <w:rPr>
          <w:sz w:val="22"/>
        </w:rPr>
        <w:t>lad. Omdat de acten de gehele provincie betreffen, zijn aan diverse heemkundekringen deze artikelen als kopij aangeboden voor hun respectivelijke heembladen of historische reeksen en jaarboeken.</w:t>
      </w:r>
    </w:p>
    <w:p w:rsidR="005B241A" w:rsidRDefault="005B241A">
      <w:pPr>
        <w:rPr>
          <w:sz w:val="22"/>
        </w:rPr>
      </w:pPr>
      <w:r>
        <w:rPr>
          <w:sz w:val="22"/>
        </w:rPr>
        <w:t xml:space="preserve">Voor nadere informatie kunt u terecht bij : Henk Beijers Heunpark 1021  5261 WB Vught – tel. 073 657 99 15 of email </w:t>
      </w:r>
      <w:hyperlink r:id="rId4" w:history="1">
        <w:r>
          <w:rPr>
            <w:rStyle w:val="Hyperlink"/>
            <w:sz w:val="22"/>
          </w:rPr>
          <w:t>h.a.m.beijers@home.nl</w:t>
        </w:r>
      </w:hyperlink>
      <w:r>
        <w:rPr>
          <w:sz w:val="22"/>
        </w:rPr>
        <w:t>.!</w:t>
      </w:r>
    </w:p>
    <w:p w:rsidR="005B241A" w:rsidRDefault="005B241A"/>
    <w:p w:rsidR="005B241A" w:rsidRDefault="005B241A"/>
    <w:p w:rsidR="005B241A" w:rsidRDefault="005B241A">
      <w:pPr>
        <w:rPr>
          <w:sz w:val="22"/>
        </w:rPr>
      </w:pPr>
      <w:r>
        <w:rPr>
          <w:sz w:val="22"/>
        </w:rPr>
        <w:t>BOXTEL</w:t>
      </w:r>
    </w:p>
    <w:p w:rsidR="005B241A" w:rsidRDefault="005B241A">
      <w:pPr>
        <w:pStyle w:val="Kop1"/>
        <w:rPr>
          <w:sz w:val="22"/>
        </w:rPr>
      </w:pPr>
      <w:r>
        <w:rPr>
          <w:sz w:val="22"/>
        </w:rPr>
        <w:t>Bloedig tafereel na de bloedprocessie</w:t>
      </w:r>
    </w:p>
    <w:p w:rsidR="005B241A" w:rsidRDefault="005B241A">
      <w:pPr>
        <w:rPr>
          <w:sz w:val="22"/>
        </w:rPr>
      </w:pPr>
      <w:r>
        <w:rPr>
          <w:sz w:val="22"/>
        </w:rPr>
        <w:t>De Schijndelaar Jan Lambrecht Wouterssoen heeft de dagelijkse zorg voor vrouw en kind</w:t>
      </w:r>
      <w:r>
        <w:rPr>
          <w:sz w:val="22"/>
        </w:rPr>
        <w:t>eren en probeert als ‘arme ambtsman’ aan de kost te komen. Hij stuurt een verzoekschrift in en verklaart daarin, dat hij eigenlijk nog nooit iets misdaan heeft. Dat onberispelijk gedrag wordt echter geschonden. Ongeveer twee jaren geleden is hij met vrienden op weg gegaan naar Boxtel, om daar getuige te zijn van de bloedprocessie. Een oud gebruik in de regio Boxtel sinds het einde van de 14</w:t>
      </w:r>
      <w:r>
        <w:rPr>
          <w:sz w:val="22"/>
          <w:vertAlign w:val="superscript"/>
        </w:rPr>
        <w:t>de</w:t>
      </w:r>
      <w:r>
        <w:rPr>
          <w:sz w:val="22"/>
        </w:rPr>
        <w:t xml:space="preserve"> eeeuw. Uit vele omliggende dorpen trekken mensen naar de Boxtelse Petruskerk op de dag ‘dat men aldaer is thoonende </w:t>
      </w:r>
      <w:r>
        <w:rPr>
          <w:sz w:val="22"/>
        </w:rPr>
        <w:t>het heylich bloet daer berustende’. Jan wordt vergezeld door Roelof Peter Hendriks en enkele andere goede buren. Nadat ze de kerkelijke viering hebben bijgewoond en de ‘solemnele processie’, zijn ze een herberg in gedoken voor een gezamenlijke maaltijd en hebben daar ‘goede chiere gemaeckt’. Na de maaltijd verlaten ze gezamenlijk de herberg en wandelen weer richting Schijndel. Onderweg worden ze voorbij gelopen door een groepje uit Sint Oedenrode. Ze maken een of andere opmerking naar de voorbijgangers. Hun</w:t>
      </w:r>
      <w:r>
        <w:rPr>
          <w:sz w:val="22"/>
        </w:rPr>
        <w:t xml:space="preserve"> opmerking wekt kennelijk de nodige irritatie, waarom is niet geheel duidelijk, want in Boxtel zelf is geen onvertogen woord gevallen. De gemaakte opmerking zal dus wel geen vriendelijk toontje hebben gehad. Het gezelschap vervolgt haar weg, zonder al te veel discussie. De processiegangers uit Sint Oedenrode komen hen echter achterop gelopen. Sommigen gaan snel door het koren en door een voetpadje ter plaatse om wat sneller bij de groep Schijndelaren te zijn. Ze zijn voorzien van ‘bloote sweerden ende langh</w:t>
      </w:r>
      <w:r>
        <w:rPr>
          <w:sz w:val="22"/>
        </w:rPr>
        <w:t>e messen’. Ze slaan in op Jan en Roelof en hun gezelschap, waarvan er diversen bloedige verwondingen oplopen. Maar die van Schijndel slaan heftig terug. Later horen ze, dat de uit Sint Oedenrode afkomstige Jan Adriaan van Colle aan zijn verwondingen is overleden. Jan Lambrecht Wouters vreest ‘rigeur van justitie’ en dient een verzoek om remissie in. De gratie wordt hem uiteindelijk verleend.</w:t>
      </w:r>
    </w:p>
    <w:p w:rsidR="005B241A" w:rsidRDefault="005B241A">
      <w:pPr>
        <w:rPr>
          <w:sz w:val="22"/>
        </w:rPr>
      </w:pPr>
      <w:r>
        <w:rPr>
          <w:sz w:val="22"/>
        </w:rPr>
        <w:lastRenderedPageBreak/>
        <w:t>(648.3.74 – februari 1570).</w:t>
      </w:r>
    </w:p>
    <w:p w:rsidR="005B241A" w:rsidRDefault="005B241A">
      <w:pPr>
        <w:rPr>
          <w:sz w:val="22"/>
        </w:rPr>
      </w:pPr>
      <w:r>
        <w:rPr>
          <w:sz w:val="22"/>
        </w:rPr>
        <w:t xml:space="preserve">  </w:t>
      </w:r>
    </w:p>
    <w:p w:rsidR="005B241A" w:rsidRDefault="005B241A">
      <w:pPr>
        <w:rPr>
          <w:sz w:val="22"/>
        </w:rPr>
      </w:pPr>
      <w:r>
        <w:rPr>
          <w:sz w:val="22"/>
        </w:rPr>
        <w:t>BOXTEL</w:t>
      </w:r>
    </w:p>
    <w:p w:rsidR="005B241A" w:rsidRDefault="005B241A">
      <w:pPr>
        <w:pStyle w:val="Kop1"/>
        <w:rPr>
          <w:sz w:val="22"/>
        </w:rPr>
      </w:pPr>
      <w:r>
        <w:rPr>
          <w:sz w:val="22"/>
        </w:rPr>
        <w:t>Een bastaarddochter het klooster in</w:t>
      </w:r>
    </w:p>
    <w:p w:rsidR="005B241A" w:rsidRDefault="005B241A">
      <w:pPr>
        <w:rPr>
          <w:sz w:val="22"/>
        </w:rPr>
      </w:pPr>
      <w:r>
        <w:rPr>
          <w:sz w:val="22"/>
        </w:rPr>
        <w:t>De Heer van Horne, Heer van Boxtel en teven</w:t>
      </w:r>
      <w:r>
        <w:rPr>
          <w:sz w:val="22"/>
        </w:rPr>
        <w:t>s Graaf van Bassigny, legt een verklaring af, dat hij een buitenechtelijke dochter heeft, die in het klooster is ingetreden en haar professie zal doen bij de Grauwe Zusters te Mabeuge. Voor haar vraagt hij een legitimatiebrief aan. De franstalige akte is in tweevoud opgemaakt in dit remissieboek. De biologische moeder wordt overigens niet bekend gemaakt!</w:t>
      </w:r>
    </w:p>
    <w:p w:rsidR="005B241A" w:rsidRDefault="005B241A">
      <w:pPr>
        <w:rPr>
          <w:sz w:val="22"/>
        </w:rPr>
      </w:pPr>
      <w:r>
        <w:rPr>
          <w:sz w:val="22"/>
        </w:rPr>
        <w:t>(653.5.126v en 127v – augustus 1608).</w:t>
      </w:r>
    </w:p>
    <w:p w:rsidR="005B241A" w:rsidRDefault="005B241A">
      <w:pPr>
        <w:rPr>
          <w:sz w:val="22"/>
        </w:rPr>
      </w:pPr>
    </w:p>
    <w:p w:rsidR="005B241A" w:rsidRDefault="005B241A">
      <w:pPr>
        <w:rPr>
          <w:sz w:val="22"/>
        </w:rPr>
      </w:pPr>
      <w:r>
        <w:rPr>
          <w:sz w:val="22"/>
        </w:rPr>
        <w:t>BOXTEL (zie ook: Gemonde)</w:t>
      </w:r>
    </w:p>
    <w:p w:rsidR="005B241A" w:rsidRDefault="005B241A">
      <w:pPr>
        <w:pStyle w:val="Kop3"/>
      </w:pPr>
      <w:r>
        <w:t>Geboren en getogen in Boxtel</w:t>
      </w:r>
    </w:p>
    <w:p w:rsidR="005B241A" w:rsidRDefault="005B241A">
      <w:pPr>
        <w:rPr>
          <w:sz w:val="22"/>
        </w:rPr>
      </w:pPr>
      <w:r>
        <w:rPr>
          <w:sz w:val="22"/>
        </w:rPr>
        <w:t>Hendrik Janssens verblijft binnen de Baronie van Boxtel en he</w:t>
      </w:r>
      <w:r>
        <w:rPr>
          <w:sz w:val="22"/>
        </w:rPr>
        <w:t>eft daar al van jongsaf gewoond. Al meer dan veertig jaren heeft hij zich correct gedragen als een ‘goet ende oprecht catholyck persoone behoort te doene’. Hij heeft twintig jaren gediend in een bepaald huis. Zijn naam en faam kent men in het Boxtelse. Door zijn langdurige diensttijd en goed gedrag, heeft hij wat schaarse middelen weten op te bouwen en hij zou graag een testament willen maken, om anderen van die middelen te kunnen laten profiteren. Zo’n testament zou echter van nul en gener waarde zijn, omd</w:t>
      </w:r>
      <w:r>
        <w:rPr>
          <w:sz w:val="22"/>
        </w:rPr>
        <w:t>at hij destijds buitenechtelijk is verwekt door Heer Jan Roompot, de toenmalige pastoor van Gemonde, gelegen onder de jurisdictie van Boxtel. Die heeft immers een relatie gehad met een zekere Marie van Ruyssinge, eerder weduwe van Anthonis Wauters van Suyle. Hij verzoekt daarom Brussel om hem een geldige legitimatiebrief te verstrekken. Die krijgt hij.</w:t>
      </w:r>
    </w:p>
    <w:p w:rsidR="005B241A" w:rsidRDefault="005B241A">
      <w:pPr>
        <w:rPr>
          <w:sz w:val="22"/>
        </w:rPr>
      </w:pPr>
      <w:r>
        <w:rPr>
          <w:sz w:val="22"/>
        </w:rPr>
        <w:t>(661.3.79 – februari 1645).</w:t>
      </w:r>
    </w:p>
    <w:p w:rsidR="005B241A" w:rsidRDefault="005B241A">
      <w:pPr>
        <w:rPr>
          <w:sz w:val="22"/>
        </w:rPr>
      </w:pPr>
      <w:r>
        <w:rPr>
          <w:sz w:val="22"/>
        </w:rPr>
        <w:t xml:space="preserve">  </w:t>
      </w:r>
    </w:p>
    <w:p w:rsidR="005B241A" w:rsidRDefault="005B241A">
      <w:pPr>
        <w:rPr>
          <w:sz w:val="22"/>
        </w:rPr>
      </w:pPr>
      <w:r>
        <w:rPr>
          <w:sz w:val="22"/>
        </w:rPr>
        <w:t>BOXTEL</w:t>
      </w:r>
    </w:p>
    <w:p w:rsidR="005B241A" w:rsidRDefault="005B241A">
      <w:pPr>
        <w:pStyle w:val="Kop3"/>
      </w:pPr>
      <w:r>
        <w:t>De heer van Boxtel staat op zijn strepen</w:t>
      </w:r>
    </w:p>
    <w:p w:rsidR="005B241A" w:rsidRDefault="005B241A">
      <w:pPr>
        <w:rPr>
          <w:sz w:val="22"/>
        </w:rPr>
      </w:pPr>
      <w:r>
        <w:rPr>
          <w:sz w:val="22"/>
        </w:rPr>
        <w:t>Graaf Ambrosius de Hornes en Bassigny, tevens Heer van Boxtel, haalt in een pr</w:t>
      </w:r>
      <w:r>
        <w:rPr>
          <w:sz w:val="22"/>
        </w:rPr>
        <w:t xml:space="preserve">oces blijkbaar alle perkamenten charters uit de kast, om te kunnen bewijzen dat Boxtel destijds een leen was van het Heilige Roomse Rijk en in die hoedanigheid altijd vrijgesteld van bepaalde lasten, beden, schattingen en dergelijke. Hij verwijst ijverig naar retroacta in deze uit o.a. de jaren 1334, 1356, 1358, 1424, 1430 en 1490. Het is een zeer lang document vanaf folio 119 doorlopend tot folio 138v en voor de historie van de Baronie van Boxtel vast en zeer een belangrijk stuk, alhowel het meeste al wel </w:t>
      </w:r>
      <w:r>
        <w:rPr>
          <w:sz w:val="22"/>
        </w:rPr>
        <w:t>bekend zal zijn!</w:t>
      </w:r>
    </w:p>
    <w:p w:rsidR="005B241A" w:rsidRDefault="005B241A">
      <w:pPr>
        <w:rPr>
          <w:sz w:val="22"/>
        </w:rPr>
      </w:pPr>
      <w:r>
        <w:rPr>
          <w:sz w:val="22"/>
        </w:rPr>
        <w:t xml:space="preserve">(662.4.119 – 1647). </w:t>
      </w:r>
    </w:p>
    <w:p w:rsidR="005B241A" w:rsidRDefault="005B241A"/>
    <w:sectPr w:rsidR="005B24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4770"/>
    <w:rsid w:val="005B241A"/>
    <w:rsid w:val="00BE3D2A"/>
    <w:rsid w:val="00EB47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9CBC71-CD41-42FD-A3B3-D21AD2E3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rPr>
  </w:style>
  <w:style w:type="paragraph" w:styleId="Kop3">
    <w:name w:val="heading 3"/>
    <w:basedOn w:val="Standaard"/>
    <w:next w:val="Standaard"/>
    <w:qFormat/>
    <w:pPr>
      <w:keepNext/>
      <w:outlineLvl w:val="2"/>
    </w:pPr>
    <w:rPr>
      <w:rFonts w:eastAsia="Arial Unicode MS"/>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m.beijers@hom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1030</Words>
  <Characters>5665</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GELEZEN IN BRUSSELSE ARCHIEVEN…</vt:lpstr>
    </vt:vector>
  </TitlesOfParts>
  <Company/>
  <LinksUpToDate>false</LinksUpToDate>
  <CharactersWithSpaces>6682</CharactersWithSpaces>
  <SharedDoc>false</SharedDoc>
  <HLinks>
    <vt:vector size="6" baseType="variant">
      <vt:variant>
        <vt:i4>6029373</vt:i4>
      </vt:variant>
      <vt:variant>
        <vt:i4>0</vt:i4>
      </vt:variant>
      <vt:variant>
        <vt:i4>0</vt:i4>
      </vt:variant>
      <vt:variant>
        <vt:i4>5</vt:i4>
      </vt:variant>
      <vt:variant>
        <vt:lpwstr>mailto:h.a.m.beijers@home.nl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