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inv.nr.38</w:t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predidenten,doctoren en verte</w:t>
      </w:r>
      <w:r>
        <w:rPr>
          <w:spacing w:val="-3"/>
          <w:sz w:val="24"/>
          <w:szCs w:val="24"/>
        </w:rPr>
        <w:softHyphen/>
        <w:t>genwoordigers van de faculteit, 1564 - 1785 - 21 stukken en 12 omslagen.</w:t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1765 - 1784 A.Aerts pastoor te Schijndel en vicaris generaal</w:t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van het bisdom 's-Bosch [latijn]</w:t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19.1.a4-5/34.1.a11-12/23.3.b3</w:t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Deze stukken zijn door het rijksarchief in kopie aangeleverd vanwege het handschrift van pastoor Aerts.</w:t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</w:p>
    <w:p w:rsidR="006976A2" w:rsidRDefault="006976A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6976A2" w:rsidSect="006976A2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54AE" w:rsidRDefault="008B54AE">
      <w:pPr>
        <w:spacing w:line="20" w:lineRule="exact"/>
        <w:rPr>
          <w:sz w:val="24"/>
          <w:szCs w:val="24"/>
        </w:rPr>
      </w:pPr>
    </w:p>
  </w:endnote>
  <w:endnote w:type="continuationSeparator" w:id="0">
    <w:p w:rsidR="008B54AE" w:rsidRDefault="008B54AE" w:rsidP="006976A2">
      <w:r>
        <w:rPr>
          <w:sz w:val="24"/>
          <w:szCs w:val="24"/>
        </w:rPr>
        <w:t xml:space="preserve"> </w:t>
      </w:r>
    </w:p>
  </w:endnote>
  <w:endnote w:type="continuationNotice" w:id="1">
    <w:p w:rsidR="008B54AE" w:rsidRDefault="008B54AE" w:rsidP="006976A2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54AE" w:rsidRDefault="008B54AE" w:rsidP="006976A2">
      <w:r>
        <w:rPr>
          <w:sz w:val="24"/>
          <w:szCs w:val="24"/>
        </w:rPr>
        <w:separator/>
      </w:r>
    </w:p>
  </w:footnote>
  <w:footnote w:type="continuationSeparator" w:id="0">
    <w:p w:rsidR="008B54AE" w:rsidRDefault="008B54AE" w:rsidP="00697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1510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976A2"/>
    <w:rsid w:val="004B3732"/>
    <w:rsid w:val="006976A2"/>
    <w:rsid w:val="008B54AE"/>
    <w:rsid w:val="008D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976A2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976A2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363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