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7770" w:rsidRDefault="008D7770">
      <w:pPr>
        <w:tabs>
          <w:tab w:val="left" w:pos="-1440"/>
          <w:tab w:val="left" w:pos="-720"/>
        </w:tabs>
        <w:spacing w:line="240" w:lineRule="atLeast"/>
        <w:jc w:val="both"/>
        <w:rPr>
          <w:spacing w:val="-3"/>
        </w:rPr>
      </w:pPr>
      <w:r>
        <w:rPr>
          <w:spacing w:val="-3"/>
        </w:rPr>
        <w:t>R</w:t>
      </w:r>
      <w:r>
        <w:rPr>
          <w:spacing w:val="-3"/>
        </w:rPr>
        <w:softHyphen/>
        <w:t>ANB toegangsnummer 1107</w:t>
      </w:r>
      <w:r>
        <w:rPr>
          <w:spacing w:val="-3"/>
        </w:rPr>
        <w:fldChar w:fldCharType="begin"/>
      </w:r>
      <w:r>
        <w:rPr>
          <w:spacing w:val="-3"/>
        </w:rPr>
        <w:instrText xml:space="preserve">PRIVATE </w:instrText>
      </w:r>
      <w:r>
        <w:rPr>
          <w:spacing w:val="-3"/>
        </w:rPr>
      </w:r>
      <w:r>
        <w:rPr>
          <w:spacing w:val="-3"/>
        </w:rPr>
        <w:fldChar w:fldCharType="end"/>
      </w:r>
    </w:p>
    <w:p w:rsidR="008D7770" w:rsidRDefault="008D7770">
      <w:pPr>
        <w:tabs>
          <w:tab w:val="left" w:pos="-1440"/>
          <w:tab w:val="left" w:pos="-720"/>
        </w:tabs>
        <w:spacing w:line="240" w:lineRule="atLeast"/>
        <w:jc w:val="both"/>
        <w:rPr>
          <w:spacing w:val="-3"/>
        </w:rPr>
      </w:pPr>
      <w:r>
        <w:rPr>
          <w:spacing w:val="-3"/>
        </w:rPr>
        <w:t>microfiches Algemeen Rijksarchief Brussel</w:t>
      </w:r>
    </w:p>
    <w:p w:rsidR="008D7770" w:rsidRDefault="008D7770">
      <w:pPr>
        <w:tabs>
          <w:tab w:val="left" w:pos="-1440"/>
          <w:tab w:val="left" w:pos="-720"/>
        </w:tabs>
        <w:spacing w:line="240" w:lineRule="atLeast"/>
        <w:jc w:val="both"/>
        <w:rPr>
          <w:spacing w:val="-3"/>
        </w:rPr>
      </w:pPr>
      <w:r>
        <w:rPr>
          <w:spacing w:val="-3"/>
        </w:rPr>
        <w:t>VONNISBOEKEN RAAD VAN BRABANT BRUSSEL</w:t>
      </w:r>
    </w:p>
    <w:p w:rsidR="008D7770" w:rsidRDefault="008D7770">
      <w:pPr>
        <w:tabs>
          <w:tab w:val="left" w:pos="-1440"/>
          <w:tab w:val="left" w:pos="-720"/>
        </w:tabs>
        <w:spacing w:line="240" w:lineRule="atLeast"/>
        <w:jc w:val="both"/>
        <w:rPr>
          <w:spacing w:val="-3"/>
        </w:rPr>
      </w:pPr>
      <w:r>
        <w:rPr>
          <w:spacing w:val="-3"/>
        </w:rPr>
        <w:t>inventarisnummers 525- 673 periode 15de - 17de eeuw</w:t>
      </w:r>
    </w:p>
    <w:p w:rsidR="008D7770" w:rsidRDefault="008D7770">
      <w:pPr>
        <w:tabs>
          <w:tab w:val="left" w:pos="-1440"/>
          <w:tab w:val="left" w:pos="-720"/>
        </w:tabs>
        <w:spacing w:line="240" w:lineRule="atLeast"/>
        <w:jc w:val="both"/>
        <w:rPr>
          <w:spacing w:val="-3"/>
        </w:rPr>
      </w:pPr>
      <w:r>
        <w:rPr>
          <w:spacing w:val="-3"/>
        </w:rPr>
        <w:t>inventarisnumer 553</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r>
        <w:rPr>
          <w:spacing w:val="-3"/>
        </w:rPr>
        <w:t>FICHE 1  inventarisnummer 553  periode 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fol.33 vonnisnr. 10</w:t>
      </w:r>
    </w:p>
    <w:p w:rsidR="008D7770" w:rsidRDefault="008D7770">
      <w:pPr>
        <w:tabs>
          <w:tab w:val="left" w:pos="-1440"/>
          <w:tab w:val="left" w:pos="-720"/>
        </w:tabs>
        <w:spacing w:line="240" w:lineRule="atLeast"/>
        <w:jc w:val="both"/>
        <w:rPr>
          <w:spacing w:val="-3"/>
        </w:rPr>
      </w:pPr>
      <w:r>
        <w:rPr>
          <w:spacing w:val="-3"/>
        </w:rPr>
        <w:t xml:space="preserve">De MEESTER van de abdij P0STEL legt een verklaring af dat de abdij te LIEROP in de Meierij van Den Bosch drie uithoven heeft liggen te weten </w:t>
      </w:r>
      <w:r>
        <w:rPr>
          <w:spacing w:val="-3"/>
        </w:rPr>
        <w:t>MOERSELE, TER HOFSTAT en TEN BOMEN alsmede het gebruik van het moer in de heide van Lierop en het moer gelegen in de heide van SOMEREN om er te mogen maaien en turf te steken [november 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fol.36 vonnisnr. 12</w:t>
      </w:r>
    </w:p>
    <w:p w:rsidR="008D7770" w:rsidRDefault="008D7770">
      <w:pPr>
        <w:tabs>
          <w:tab w:val="left" w:pos="-1440"/>
          <w:tab w:val="left" w:pos="-720"/>
        </w:tabs>
        <w:spacing w:line="240" w:lineRule="atLeast"/>
        <w:jc w:val="both"/>
        <w:rPr>
          <w:spacing w:val="-3"/>
        </w:rPr>
      </w:pPr>
      <w:r>
        <w:rPr>
          <w:spacing w:val="-3"/>
        </w:rPr>
        <w:t>Proces hangende voor schepenen van AARLE RIXTEL tussen ADAM VAN DER HOEVEN in naam van DIERICK en LUYTGAERDE broer en zus kinderen van wijlen HEER GHIJSBRECHTS SNOECX als naaste erf</w:t>
      </w:r>
      <w:r>
        <w:rPr>
          <w:spacing w:val="-3"/>
        </w:rPr>
        <w:softHyphen/>
        <w:t>genamen contra HENRICK VAN EYCK als momboir van de natuurlijke en minderjarige kinderen van HEER GHIJSBRECHT SNOECX b</w:t>
      </w:r>
      <w:r>
        <w:rPr>
          <w:spacing w:val="-3"/>
        </w:rPr>
        <w:t>etref</w:t>
      </w:r>
      <w:r>
        <w:rPr>
          <w:spacing w:val="-3"/>
        </w:rPr>
        <w:softHyphen/>
        <w:t>fende goederen die destijds door Heer Ghijsbrecht zijn nagela</w:t>
      </w:r>
      <w:r>
        <w:rPr>
          <w:spacing w:val="-3"/>
        </w:rPr>
        <w:softHyphen/>
        <w:t>ten [25.0</w:t>
      </w:r>
      <w:r>
        <w:rPr>
          <w:spacing w:val="-3"/>
        </w:rPr>
        <w:softHyphen/>
        <w:t>4.1502].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fol.38 vonnisnr. 13</w:t>
      </w:r>
    </w:p>
    <w:p w:rsidR="008D7770" w:rsidRDefault="008D7770">
      <w:pPr>
        <w:tabs>
          <w:tab w:val="left" w:pos="-1440"/>
          <w:tab w:val="left" w:pos="-720"/>
        </w:tabs>
        <w:spacing w:line="240" w:lineRule="atLeast"/>
        <w:jc w:val="both"/>
        <w:rPr>
          <w:spacing w:val="-3"/>
        </w:rPr>
      </w:pPr>
      <w:r>
        <w:rPr>
          <w:spacing w:val="-3"/>
        </w:rPr>
        <w:t>De provisoren van de H.GEESTTAFEL van HELMOND contra HENRICK VAN DOERNE - de provisoren beweren al geruime tijd in bezit te zijn van 'eenen beempde gelegen onder den bedrive ende juris</w:t>
      </w:r>
      <w:r>
        <w:rPr>
          <w:spacing w:val="-3"/>
        </w:rPr>
        <w:softHyphen/>
        <w:t>dictien van ASTEN ende by tGOET te BERGELE' - Henrick had echter gevorderd en pdract eeve het hooi uit die beemd te laten maaien, waarmee men het niet eens was [09.0</w:t>
      </w:r>
      <w:r>
        <w:rPr>
          <w:spacing w:val="-3"/>
        </w:rPr>
        <w:softHyphen/>
        <w:t>5.1502].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r>
        <w:rPr>
          <w:spacing w:val="-3"/>
        </w:rPr>
        <w:t>===================</w:t>
      </w:r>
    </w:p>
    <w:p w:rsidR="008D7770" w:rsidRDefault="008D7770">
      <w:pPr>
        <w:tabs>
          <w:tab w:val="left" w:pos="-1440"/>
          <w:tab w:val="left" w:pos="-720"/>
        </w:tabs>
        <w:spacing w:line="240" w:lineRule="atLeast"/>
        <w:jc w:val="both"/>
        <w:rPr>
          <w:spacing w:val="-3"/>
        </w:rPr>
      </w:pPr>
      <w:r>
        <w:rPr>
          <w:spacing w:val="-3"/>
        </w:rPr>
        <w:t>FICHE 2 inventarisnummer 553  periode 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fol.61 vonnisnr. 25</w:t>
      </w:r>
    </w:p>
    <w:p w:rsidR="008D7770" w:rsidRDefault="008D7770">
      <w:pPr>
        <w:tabs>
          <w:tab w:val="left" w:pos="-1440"/>
          <w:tab w:val="left" w:pos="-720"/>
        </w:tabs>
        <w:spacing w:line="240" w:lineRule="atLeast"/>
        <w:jc w:val="both"/>
        <w:rPr>
          <w:spacing w:val="-3"/>
        </w:rPr>
      </w:pPr>
      <w:r>
        <w:rPr>
          <w:spacing w:val="-3"/>
        </w:rPr>
        <w:t>De procureur generaal van de Raad van Brabant contra JOUFFROU</w:t>
      </w:r>
      <w:r>
        <w:rPr>
          <w:spacing w:val="-3"/>
        </w:rPr>
        <w:softHyphen/>
        <w:t>WE GHEERTRUDEN VAN DUYSBORCH een van de meesteressen van de BEGIJ</w:t>
      </w:r>
      <w:r>
        <w:rPr>
          <w:spacing w:val="-3"/>
        </w:rPr>
        <w:softHyphen/>
        <w:t>NEN te Den Bosch samen met de andere begijnen - de procu</w:t>
      </w:r>
      <w:r>
        <w:rPr>
          <w:spacing w:val="-3"/>
        </w:rPr>
        <w:softHyphen/>
        <w:t>reur verklaart dat in de instructie van de beden in het jaar li [1451 ?] uitdrukkelijk was begrepen dat alle personen gezeten binnen het land van Brabant inclusief de BEGIJNEN zoud</w:t>
      </w:r>
      <w:r>
        <w:rPr>
          <w:spacing w:val="-3"/>
        </w:rPr>
        <w:t>en moeten contribueren in de beden. Dit gold voor alle huizen die in de laatste haardstedetelling opgenomen waren. Nu was er in Den Bosch een vergadering geweest van vrouwspersonen die samen</w:t>
      </w:r>
      <w:r>
        <w:rPr>
          <w:spacing w:val="-3"/>
        </w:rPr>
        <w:softHyphen/>
        <w:t>leefden en BEGIJNEN genoemd worden en zich als gees</w:t>
      </w:r>
      <w:r>
        <w:rPr>
          <w:spacing w:val="-3"/>
        </w:rPr>
        <w:softHyphen/>
        <w:t>telijken beschouwen alhowel ze geen regel aanhangen en geen geloften doen. Het waren dus eigenlijk leken. De BEGIJNEN hadden zowel in als buiten de stad diverse goederen liggen en vele huizen en woningen in de stad Den Bosch - bij de laatste tel</w:t>
      </w:r>
      <w:r>
        <w:rPr>
          <w:spacing w:val="-3"/>
        </w:rPr>
        <w:softHyphen/>
        <w:t>ling 82 hetgeen beteken</w:t>
      </w:r>
      <w:r>
        <w:rPr>
          <w:spacing w:val="-3"/>
        </w:rPr>
        <w:t>de dat de begijnen van hun huizen en 'temporele geamortiseerde goederen' schuldig waren te betalen in de beden . Ze weigeren die contributie o.a. vanwege de armoede waarin ze terecht waren gekomen ten gevolge van de oorlogstoe</w:t>
      </w:r>
      <w:r>
        <w:rPr>
          <w:spacing w:val="-3"/>
        </w:rPr>
        <w:softHyphen/>
        <w:t xml:space="preserve">standen en </w:t>
      </w:r>
      <w:r>
        <w:rPr>
          <w:spacing w:val="-3"/>
        </w:rPr>
        <w:lastRenderedPageBreak/>
        <w:t>verzoe</w:t>
      </w:r>
      <w:r>
        <w:rPr>
          <w:spacing w:val="-3"/>
        </w:rPr>
        <w:softHyphen/>
        <w:t>ken hen daarvan te excuseren. Vanwege deze kwestie volgt een proces voor de Brusselse Raad van Brabant. De BEGIJNEN verkla</w:t>
      </w:r>
      <w:r>
        <w:rPr>
          <w:spacing w:val="-3"/>
        </w:rPr>
        <w:softHyphen/>
        <w:t>ren dat het BEGIJNHOF in Den Bosch van de Hertog van Brabant op 1 maart 1340 bepaalde rechten vrijheden en privileges ontvangen te hebben en dat</w:t>
      </w:r>
      <w:r>
        <w:rPr>
          <w:spacing w:val="-3"/>
        </w:rPr>
        <w:t xml:space="preserve"> vanaf die tijd de meesteressen en begijnen vrij zouden zijn van beden en schat</w:t>
      </w:r>
      <w:r>
        <w:rPr>
          <w:spacing w:val="-3"/>
        </w:rPr>
        <w:softHyphen/>
        <w:t>tingen. Ze verkla</w:t>
      </w:r>
      <w:r>
        <w:rPr>
          <w:spacing w:val="-3"/>
        </w:rPr>
        <w:softHyphen/>
        <w:t>ren bovendien dat ze in ruil voor die privi</w:t>
      </w:r>
      <w:r>
        <w:rPr>
          <w:spacing w:val="-3"/>
        </w:rPr>
        <w:softHyphen/>
        <w:t>leges en vrijstel</w:t>
      </w:r>
      <w:r>
        <w:rPr>
          <w:spacing w:val="-3"/>
        </w:rPr>
        <w:softHyphen/>
        <w:t>lingen 'waren gehauden ende gelast vuyt waerachtigen peniten</w:t>
      </w:r>
      <w:r>
        <w:rPr>
          <w:spacing w:val="-3"/>
        </w:rPr>
        <w:softHyphen/>
        <w:t>cien elcx daighs ander</w:t>
      </w:r>
      <w:r>
        <w:rPr>
          <w:spacing w:val="-3"/>
        </w:rPr>
        <w:softHyphen/>
        <w:t>halve (h)uere te bidden gode almachtich voir den saligen staet vanden princen ende hertogen van Bra</w:t>
      </w:r>
      <w:r>
        <w:rPr>
          <w:spacing w:val="-3"/>
        </w:rPr>
        <w:softHyphen/>
        <w:t>bant in tijden wesende ende vuyt desen blieck clairlyck dat die voirs. meesterssen ende beghynen behoerden ende sculdich waren in die voirs, vrijheide ende exempcien te</w:t>
      </w:r>
      <w:r>
        <w:rPr>
          <w:spacing w:val="-3"/>
        </w:rPr>
        <w:t xml:space="preserve"> blyven in sulcker wijs als dat noch die regeerde</w:t>
      </w:r>
      <w:r>
        <w:rPr>
          <w:spacing w:val="-3"/>
        </w:rPr>
        <w:softHyphen/>
        <w:t>ren der voirs. stat noch oock die voirs. impetranten niet ontfancbair en waren om te commenderen tot sulcken eynde als zij in prejudicien der voi</w:t>
      </w:r>
      <w:r>
        <w:rPr>
          <w:spacing w:val="-3"/>
        </w:rPr>
        <w:softHyphen/>
        <w:t>rs. privilegien exempcien ende possessien gedaen hadden, maer behoirden ende waren sculdich die selve beghynen dair inne ongeturbeert ende ongequetst te blyvenen'. Gesproken wordt over een getal van onder de 20 begijnen veelal arme personen die met dagelijkse arbeid en de hulp van de H.Geest in hun onderhoud moeten</w:t>
      </w:r>
      <w:r>
        <w:rPr>
          <w:spacing w:val="-3"/>
        </w:rPr>
        <w:t xml:space="preserve"> voorzien. In de acte wordt beweerd dat op het Begijnhof wel 150 haardste</w:t>
      </w:r>
      <w:r>
        <w:rPr>
          <w:spacing w:val="-3"/>
        </w:rPr>
        <w:softHyphen/>
        <w:t>den waren in plaats van 80. Bovendien zouden er ook veel rijke begijnen zijn, wel viermaal meer dan was opge</w:t>
      </w:r>
      <w:r>
        <w:rPr>
          <w:spacing w:val="-3"/>
        </w:rPr>
        <w:softHyphen/>
        <w:t>geven door de gedaagden [30.09.1502]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fol.80 vonnisnr. 29</w:t>
      </w:r>
    </w:p>
    <w:p w:rsidR="008D7770" w:rsidRDefault="008D7770">
      <w:pPr>
        <w:tabs>
          <w:tab w:val="left" w:pos="-1440"/>
          <w:tab w:val="left" w:pos="-720"/>
        </w:tabs>
        <w:spacing w:line="240" w:lineRule="atLeast"/>
        <w:jc w:val="both"/>
        <w:rPr>
          <w:spacing w:val="-3"/>
        </w:rPr>
      </w:pPr>
      <w:r>
        <w:rPr>
          <w:spacing w:val="-3"/>
        </w:rPr>
        <w:t>Kwestie tussen CLAUS VAN WERELHOVEN contra het SINT GEERTRUIK</w:t>
      </w:r>
      <w:r>
        <w:rPr>
          <w:spacing w:val="-3"/>
        </w:rPr>
        <w:softHyphen/>
        <w:t>LOOSTER in Den Bosch in de persoon van LAMBRECHT VAN DEN HEE</w:t>
      </w:r>
      <w:r>
        <w:rPr>
          <w:spacing w:val="-3"/>
        </w:rPr>
        <w:softHyphen/>
        <w:t>SACKER en JANNE VAN DEN HOEVELE - gememoreerd wordt aan een proces tussen de moeder van de impetrant te weten wijlen JOUFROUWE KATHARINA VAN BAEST m</w:t>
      </w:r>
      <w:r>
        <w:rPr>
          <w:spacing w:val="-3"/>
        </w:rPr>
        <w:t>.b.t. zijn vaderlijke en moe</w:t>
      </w:r>
      <w:r>
        <w:rPr>
          <w:spacing w:val="-3"/>
        </w:rPr>
        <w:softHyphen/>
        <w:t>derlijke goederen - de acte spreekt over een gevangenschap in het slot van TURNHOUT - onder het goederenbezit vielen twee hoeven te UDENHOUT met hun beemdem en andere toebehoren ge</w:t>
      </w:r>
      <w:r>
        <w:rPr>
          <w:spacing w:val="-3"/>
        </w:rPr>
        <w:softHyphen/>
        <w:t>kocht door een zekere ROMBOUT ANDRIESSEN en beemden in het VUCHT</w:t>
      </w:r>
      <w:r>
        <w:rPr>
          <w:spacing w:val="-3"/>
        </w:rPr>
        <w:softHyphen/>
        <w:t>BROECK [09.05.1502]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r>
        <w:rPr>
          <w:spacing w:val="-3"/>
        </w:rPr>
        <w:softHyphen/>
      </w:r>
    </w:p>
    <w:p w:rsidR="008D7770" w:rsidRDefault="008D7770">
      <w:pPr>
        <w:tabs>
          <w:tab w:val="left" w:pos="-1440"/>
          <w:tab w:val="left" w:pos="-720"/>
        </w:tabs>
        <w:spacing w:line="240" w:lineRule="atLeast"/>
        <w:jc w:val="both"/>
        <w:rPr>
          <w:spacing w:val="-3"/>
        </w:rPr>
      </w:pPr>
      <w:r>
        <w:rPr>
          <w:spacing w:val="-3"/>
        </w:rPr>
        <w:t>FICHE 3 inventarisnummer 553  periode 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fol.138 vonnnisnr. 47</w:t>
      </w:r>
    </w:p>
    <w:p w:rsidR="008D7770" w:rsidRDefault="008D7770">
      <w:pPr>
        <w:tabs>
          <w:tab w:val="left" w:pos="-1440"/>
          <w:tab w:val="left" w:pos="-720"/>
        </w:tabs>
        <w:spacing w:line="240" w:lineRule="atLeast"/>
        <w:jc w:val="both"/>
        <w:rPr>
          <w:spacing w:val="-3"/>
        </w:rPr>
      </w:pPr>
      <w:r>
        <w:rPr>
          <w:spacing w:val="-3"/>
        </w:rPr>
        <w:t>De ingezetenen en gemene gebu</w:t>
      </w:r>
      <w:r>
        <w:rPr>
          <w:spacing w:val="-3"/>
        </w:rPr>
        <w:t>ren van BEKE [= Beek &amp; Donk, ook Aarlebeek genoemd] contra de ingezete</w:t>
      </w:r>
      <w:r>
        <w:rPr>
          <w:spacing w:val="-3"/>
        </w:rPr>
        <w:softHyphen/>
        <w:t>nen en gemene geburen van LIESHOUT - er werd een proces gevoerd tussen de meester van het GODSHUIS VAN LIESHOUT samen met de ingezetenen tegen de ingezetenen van BEEK (en Donk) - beweerd werd dat de heerlijk</w:t>
      </w:r>
      <w:r>
        <w:rPr>
          <w:spacing w:val="-3"/>
        </w:rPr>
        <w:softHyphen/>
        <w:t>heid en jurisdic</w:t>
      </w:r>
      <w:r>
        <w:rPr>
          <w:spacing w:val="-3"/>
        </w:rPr>
        <w:softHyphen/>
        <w:t>tie van het dorp Beek palende aan het dorp Lieshout de HEER VAN RIXTEL toebe</w:t>
      </w:r>
      <w:r>
        <w:rPr>
          <w:spacing w:val="-3"/>
        </w:rPr>
        <w:softHyphen/>
        <w:t>hoorde, die in het dorp Beek ook de hoge, middele en lage jurisdictie bezat met nog diverse andere heerlijkheidsrechten o.a. de keuren en b</w:t>
      </w:r>
      <w:r>
        <w:rPr>
          <w:spacing w:val="-3"/>
        </w:rPr>
        <w:t>reuken en ook het uitgeven, verpachten en vercijnzen van waterlopen, heiden en gemeynten binnen de heerlijkheid Beek, zich uitstrekkende van de openbare weg [heerstraat] tot de brugge achter den LAIR geheeten den PEES</w:t>
      </w:r>
      <w:r>
        <w:rPr>
          <w:spacing w:val="-3"/>
        </w:rPr>
        <w:softHyphen/>
        <w:t>GAL tot op den ARENDIJCK [of Dorendijck?] en van daar tot op den CONINCXGRAVE en van daar tot op den BRUE</w:t>
      </w:r>
      <w:r>
        <w:rPr>
          <w:spacing w:val="-3"/>
        </w:rPr>
        <w:softHyphen/>
        <w:t>GELSCHEN PAEL en van daar op RIEPAT van daar op den LANGEN</w:t>
      </w:r>
      <w:r>
        <w:rPr>
          <w:spacing w:val="-3"/>
        </w:rPr>
        <w:softHyphen/>
        <w:t xml:space="preserve">DIJCK van daar tot </w:t>
      </w:r>
      <w:r>
        <w:rPr>
          <w:spacing w:val="-3"/>
        </w:rPr>
        <w:lastRenderedPageBreak/>
        <w:t>ERP waerts op HERNENSHEYSTERE van daar op de riviere geheten d'AA strekkende vandaar tot aan de heer</w:t>
      </w:r>
      <w:r>
        <w:rPr>
          <w:spacing w:val="-3"/>
        </w:rPr>
        <w:softHyphen/>
        <w:t>lijk</w:t>
      </w:r>
      <w:r>
        <w:rPr>
          <w:spacing w:val="-3"/>
        </w:rPr>
        <w:softHyphen/>
        <w:t>heid</w:t>
      </w:r>
      <w:r>
        <w:rPr>
          <w:spacing w:val="-3"/>
        </w:rPr>
        <w:t xml:space="preserve"> GEMERT - over de heide is een conflict gerezen waar</w:t>
      </w:r>
      <w:r>
        <w:rPr>
          <w:spacing w:val="-3"/>
        </w:rPr>
        <w:softHyphen/>
        <w:t>van de ingezetenen van Beek beweren al 100 jaren en langer het ge</w:t>
      </w:r>
      <w:r>
        <w:rPr>
          <w:spacing w:val="-3"/>
        </w:rPr>
        <w:softHyphen/>
        <w:t xml:space="preserve">bruik te hebben en de eigendom, waar ze dan ook hun koeien, beesten en schapen op drijven en weiden, er maaien en turf steken. Vervolg op fiche 4 - zeer lange acte! [07.11.1502] </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r>
        <w:rPr>
          <w:spacing w:val="-3"/>
        </w:rPr>
        <w:t>FICHE 4 inventarisnummer 553  periode 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fol.145 vonnisnr. 48</w:t>
      </w:r>
    </w:p>
    <w:p w:rsidR="008D7770" w:rsidRDefault="008D7770">
      <w:pPr>
        <w:tabs>
          <w:tab w:val="left" w:pos="-1440"/>
          <w:tab w:val="left" w:pos="-720"/>
        </w:tabs>
        <w:spacing w:line="240" w:lineRule="atLeast"/>
        <w:jc w:val="both"/>
        <w:rPr>
          <w:spacing w:val="-3"/>
        </w:rPr>
      </w:pPr>
      <w:r>
        <w:rPr>
          <w:spacing w:val="-3"/>
        </w:rPr>
        <w:t xml:space="preserve">HENRIC VAN RUTH verklaart </w:t>
      </w:r>
      <w:r>
        <w:rPr>
          <w:spacing w:val="-3"/>
        </w:rPr>
        <w:t>in een supplicatie hoe dat hij verkocht had aan wijlen JOUFFROUW ARNT GHIJSSELEN een erfrente van 16 Rijnse guldens vastgelegd in een Bossche schepenbrief op zijn hoeve gelegen te ASTEN ter plaatse genaamd HUESDEN. Na haar dood is die rente overgegaan op haar zoon JAN GHIJSSELEN en over de betaling van die rente ontstond het conflict. Hierop volgde gevangenschap in de stad Den Bosch [05.09.1502]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fol.165v vonnisnr. 57</w:t>
      </w:r>
    </w:p>
    <w:p w:rsidR="008D7770" w:rsidRDefault="008D7770">
      <w:pPr>
        <w:tabs>
          <w:tab w:val="left" w:pos="-1440"/>
          <w:tab w:val="left" w:pos="-720"/>
        </w:tabs>
        <w:spacing w:line="240" w:lineRule="atLeast"/>
        <w:jc w:val="both"/>
        <w:rPr>
          <w:spacing w:val="-3"/>
        </w:rPr>
      </w:pPr>
      <w:r>
        <w:rPr>
          <w:spacing w:val="-3"/>
        </w:rPr>
        <w:t>Conflict tussen de ingezetenen en gemene geburen van de vrij</w:t>
      </w:r>
      <w:r>
        <w:rPr>
          <w:spacing w:val="-3"/>
        </w:rPr>
        <w:softHyphen/>
        <w:t>heid OIRSCHOT tegen de ingeze</w:t>
      </w:r>
      <w:r>
        <w:rPr>
          <w:spacing w:val="-3"/>
        </w:rPr>
        <w:t xml:space="preserve">tenen en gemene geburen van GROOT LIEMPDE - inzet is een conflict over de gemeynt tussen beide dorpen [21.11.1502].   </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r>
        <w:rPr>
          <w:spacing w:val="-3"/>
        </w:rPr>
        <w:t>FICHE 5  inventarisnummer 553  periode 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fol.194 vonnisnr. 163</w:t>
      </w:r>
    </w:p>
    <w:p w:rsidR="008D7770" w:rsidRDefault="008D7770">
      <w:pPr>
        <w:tabs>
          <w:tab w:val="left" w:pos="-1440"/>
          <w:tab w:val="left" w:pos="-720"/>
        </w:tabs>
        <w:spacing w:line="240" w:lineRule="atLeast"/>
        <w:jc w:val="both"/>
        <w:rPr>
          <w:spacing w:val="-3"/>
        </w:rPr>
      </w:pPr>
      <w:r>
        <w:rPr>
          <w:spacing w:val="-3"/>
        </w:rPr>
        <w:t>De ingezetenen en geburen van VEGHEL zijn in een proces ver</w:t>
      </w:r>
      <w:r>
        <w:rPr>
          <w:spacing w:val="-3"/>
        </w:rPr>
        <w:softHyphen/>
        <w:t>wikkeld met MARTEN DELYS, HENRICK HUBEN, JANNE WILLEMS, GOES</w:t>
      </w:r>
      <w:r>
        <w:rPr>
          <w:spacing w:val="-3"/>
        </w:rPr>
        <w:softHyphen/>
        <w:t>SEN ARNT SEEPPERSSOEN, MARTEN LOEYEN en JANNE GOEYENS mede namens de andere in</w:t>
      </w:r>
      <w:r>
        <w:rPr>
          <w:spacing w:val="-3"/>
        </w:rPr>
        <w:t>gezetenen van EERDE en CREYTENBORCH - die van Veghel beweren in 1310 van de Hertog van Brabant 'swoens</w:t>
      </w:r>
      <w:r>
        <w:rPr>
          <w:spacing w:val="-3"/>
        </w:rPr>
        <w:softHyphen/>
        <w:t>dags na Sint Petrus ad Vincula voor een erfcijns van 7 Leuven</w:t>
      </w:r>
      <w:r>
        <w:rPr>
          <w:spacing w:val="-3"/>
        </w:rPr>
        <w:softHyphen/>
        <w:t>se ponden hun gemeynt is uitgegeven aan de parochianen van Veghel en aan niemand anders. Deze gemeynt strekt zich uit tot aan de gemeynt van Schijndel beginnende in TRUHEESTERSGRAVE en zo lopende tot een plaats genaamd RICKOUTSVOERT en van daar tot een plaats genaamd ROMPERT en van daar tot de gemeynt van ERP en zo naar ZWEENSTAKE en van daar to</w:t>
      </w:r>
      <w:r>
        <w:rPr>
          <w:spacing w:val="-3"/>
        </w:rPr>
        <w:t>t aan de rivier de AA, vervolgens tot een plaats genoemd d'AUDE BEKE van daar tot de NUWER BEKEN en van daar tot EERDE en zo weer tot aan TRUHEES</w:t>
      </w:r>
      <w:r>
        <w:rPr>
          <w:spacing w:val="-3"/>
        </w:rPr>
        <w:softHyphen/>
        <w:t>TERSGRAVE - de gedaagden van Eerde en Krijtenburg zijn paro</w:t>
      </w:r>
      <w:r>
        <w:rPr>
          <w:spacing w:val="-3"/>
        </w:rPr>
        <w:softHyphen/>
        <w:t>chianen van de parochie EERSCHOT dus parochianen van SINT OEDENRODE en de voornoemde gemeynt van Veghel was dus niet voor hen be</w:t>
      </w:r>
      <w:r>
        <w:rPr>
          <w:spacing w:val="-3"/>
        </w:rPr>
        <w:softHyphen/>
        <w:t>stemd - de gedaagden beweren het tegenovergestelde en waren gerechtigd vonden ze hun beesten de heide op te drijven en er turf te steken - hierna volgt een lang proces</w:t>
      </w:r>
      <w:r>
        <w:rPr>
          <w:spacing w:val="-3"/>
        </w:rPr>
        <w:softHyphen/>
        <w:t>voor de R</w:t>
      </w:r>
      <w:r>
        <w:rPr>
          <w:spacing w:val="-3"/>
        </w:rPr>
        <w:t>aad van Brabant interessant vanwege de argumenten en tegenargumenten - acte [20.02.1502]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fol.207 vonnisnr. 65</w:t>
      </w:r>
    </w:p>
    <w:p w:rsidR="008D7770" w:rsidRDefault="008D7770">
      <w:pPr>
        <w:tabs>
          <w:tab w:val="left" w:pos="-1440"/>
          <w:tab w:val="left" w:pos="-720"/>
        </w:tabs>
        <w:spacing w:line="240" w:lineRule="atLeast"/>
        <w:jc w:val="both"/>
        <w:rPr>
          <w:spacing w:val="-3"/>
        </w:rPr>
      </w:pPr>
      <w:r>
        <w:rPr>
          <w:spacing w:val="-3"/>
        </w:rPr>
        <w:t>JAN ROESTENZOEN anders geheyten VAN LUYTELAER contra HENRICK DE BYE - de aanlegger verklaart 16 jaren geleden van de ver</w:t>
      </w:r>
      <w:r>
        <w:rPr>
          <w:spacing w:val="-3"/>
        </w:rPr>
        <w:softHyphen/>
        <w:t xml:space="preserve">weerder gekocht te hebben een stuk beemd genaamd de RIETBEEMD in de parochie WOENSEL onder ECKART in de heerlijkheid van PEETERSHEM welk stuk beemd een leen was van de HEREN VAN MERODE van hun heerlijkheid HILVARENBEEK en dat hij door de gedaagde hierover wordt lastig gevallen - </w:t>
      </w:r>
      <w:r>
        <w:rPr>
          <w:spacing w:val="-3"/>
        </w:rPr>
        <w:t xml:space="preserve"> [21.</w:t>
      </w:r>
      <w:r>
        <w:rPr>
          <w:spacing w:val="-3"/>
        </w:rPr>
        <w:softHyphen/>
        <w:t>06.1502]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fol.208v vonnisnr. 66</w:t>
      </w:r>
    </w:p>
    <w:p w:rsidR="008D7770" w:rsidRDefault="008D7770">
      <w:pPr>
        <w:tabs>
          <w:tab w:val="left" w:pos="-1440"/>
          <w:tab w:val="left" w:pos="-720"/>
        </w:tabs>
        <w:spacing w:line="240" w:lineRule="atLeast"/>
        <w:jc w:val="both"/>
        <w:rPr>
          <w:spacing w:val="-3"/>
        </w:rPr>
      </w:pPr>
      <w:r>
        <w:rPr>
          <w:spacing w:val="-3"/>
        </w:rPr>
        <w:t>JAN DE VERWERE vorster van de vrijheid OIRSCHOT heeft bij wijze van supplicatie verklaard hoe dat hij ongeveer 'n jaar geleden voor de tresorier generaal had verpacht de vorsterij van Oirschot voor een zekere jaarlijkse som van penningen zonder dat iemand hem hierover lastig viel, totdat HENRIC DICBIER de SCHOUT van DEN BOSCH de vorster liet gevangen nemen en hem 'int ijsere gevangen te stellen ende eenen anderen in sijnen stat als vorster te commiteren onder den schijn</w:t>
      </w:r>
      <w:r>
        <w:rPr>
          <w:spacing w:val="-3"/>
        </w:rPr>
        <w:t xml:space="preserve"> van dat hij eenen gevangen soude hebben laten gaen die nochtans voer egheen crime gevangen en was' - hierover ontstond het con</w:t>
      </w:r>
      <w:r>
        <w:rPr>
          <w:spacing w:val="-3"/>
        </w:rPr>
        <w:softHyphen/>
        <w:t>flict - [05.12.1502]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fol.210v vonnisnr. 67</w:t>
      </w:r>
    </w:p>
    <w:p w:rsidR="008D7770" w:rsidRDefault="008D7770">
      <w:pPr>
        <w:tabs>
          <w:tab w:val="left" w:pos="-1440"/>
          <w:tab w:val="left" w:pos="-720"/>
        </w:tabs>
        <w:spacing w:line="240" w:lineRule="atLeast"/>
        <w:jc w:val="both"/>
        <w:rPr>
          <w:spacing w:val="-3"/>
        </w:rPr>
      </w:pPr>
      <w:r>
        <w:rPr>
          <w:spacing w:val="-3"/>
        </w:rPr>
        <w:t>Conflict tussen de HEER GHEERT VAN BEEST, LAMBRECHT MILLINCK en de weduwe van wijlen GOESSENS HACK enerzijds en ROBRECHT VAN DER MARCKENZOEN tot ARENBORCH en HENRICK VAN DOERNE ander</w:t>
      </w:r>
      <w:r>
        <w:rPr>
          <w:spacing w:val="-3"/>
        </w:rPr>
        <w:softHyphen/>
        <w:t xml:space="preserve">zijds - inzet waren goederen onder EMPEL en MEERWIJK - in de acte wordt verder genoemd wijlen EVERARD VAN ARENBORCH vader van Robrecht - [30.08.1501] </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fol.2</w:t>
      </w:r>
      <w:r>
        <w:rPr>
          <w:spacing w:val="-3"/>
        </w:rPr>
        <w:t>16 vonnisnr. 67a</w:t>
      </w:r>
    </w:p>
    <w:p w:rsidR="008D7770" w:rsidRDefault="008D7770">
      <w:pPr>
        <w:tabs>
          <w:tab w:val="left" w:pos="-1440"/>
          <w:tab w:val="left" w:pos="-720"/>
        </w:tabs>
        <w:spacing w:line="240" w:lineRule="atLeast"/>
        <w:jc w:val="both"/>
        <w:rPr>
          <w:spacing w:val="-3"/>
        </w:rPr>
      </w:pPr>
      <w:r>
        <w:rPr>
          <w:spacing w:val="-3"/>
        </w:rPr>
        <w:t>JANNE VAN DER EERDEN enerzijds en de religieuzen en het con</w:t>
      </w:r>
      <w:r>
        <w:rPr>
          <w:spacing w:val="-3"/>
        </w:rPr>
        <w:softHyphen/>
        <w:t>vent van het klooster te WAALWIJK anderzijds mede in naam van de weduwe en kinderen van JAN VAN LOON hebben een ge</w:t>
      </w:r>
      <w:r>
        <w:rPr>
          <w:spacing w:val="-3"/>
        </w:rPr>
        <w:softHyphen/>
        <w:t>schil over een aangekocht stuk land te Waalwijk, gekocht van een zekere AERNDE MERCELIS en gelegen tot NEDER</w:t>
      </w:r>
      <w:r>
        <w:rPr>
          <w:spacing w:val="-3"/>
        </w:rPr>
        <w:softHyphen/>
        <w:t>DIJCK met als onderpand 1 mud en 12 lopen rogge, dat terstond was verkocht aan genoemde Jan van Loon voor schepenen van Den Bosch [12.09.1502]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r>
        <w:rPr>
          <w:spacing w:val="-3"/>
        </w:rPr>
        <w:t>FICHE</w:t>
      </w:r>
      <w:r>
        <w:rPr>
          <w:spacing w:val="-3"/>
        </w:rPr>
        <w:t xml:space="preserve"> 6 inventarisnummer 553  periode 11502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Geen bijzonderheden over de Meierij.</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r>
        <w:rPr>
          <w:spacing w:val="-3"/>
        </w:rPr>
        <w:t>FICHE 7 inventarisnummer 553  periode 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fol.312v vonnisnr. 92</w:t>
      </w:r>
    </w:p>
    <w:p w:rsidR="008D7770" w:rsidRDefault="008D7770">
      <w:pPr>
        <w:tabs>
          <w:tab w:val="left" w:pos="-1440"/>
          <w:tab w:val="left" w:pos="-720"/>
        </w:tabs>
        <w:spacing w:line="240" w:lineRule="atLeast"/>
        <w:jc w:val="both"/>
        <w:rPr>
          <w:spacing w:val="-3"/>
        </w:rPr>
      </w:pPr>
      <w:r>
        <w:rPr>
          <w:spacing w:val="-3"/>
        </w:rPr>
        <w:t xml:space="preserve">Supplicatie van GOESSEN VAN HEEZACKERE die verklaart enige tijd geleden verkocht te hebben aan HEER JANNE VAN HERLAIR ridder, een paard voor een bedrag van 22 gouden gulden die Heer </w:t>
      </w:r>
      <w:r>
        <w:rPr>
          <w:spacing w:val="-3"/>
        </w:rPr>
        <w:t>jan beloofd had te betalen ten behoeve van de H.GEEST in de stad DEN BOSCH maar de afgesproken betalingstermijn is al lang verst</w:t>
      </w:r>
      <w:r>
        <w:rPr>
          <w:spacing w:val="-3"/>
        </w:rPr>
        <w:softHyphen/>
        <w:t>reken - [04.07.1502]</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r>
        <w:rPr>
          <w:spacing w:val="-3"/>
        </w:rPr>
        <w:t>FICHE 8 inventarisnummer 553  periode 1502</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Geen bijzonderheden over de Meierij.</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r>
        <w:rPr>
          <w:spacing w:val="-3"/>
        </w:rPr>
        <w:t>EINDE VAN DIT INVENTARISNUMMER</w:t>
      </w:r>
    </w:p>
    <w:p w:rsidR="008D7770" w:rsidRDefault="008D7770">
      <w:pPr>
        <w:tabs>
          <w:tab w:val="left" w:pos="-1440"/>
          <w:tab w:val="left" w:pos="-720"/>
        </w:tabs>
        <w:spacing w:line="240" w:lineRule="atLeast"/>
        <w:jc w:val="both"/>
        <w:rPr>
          <w:spacing w:val="-3"/>
        </w:rPr>
      </w:pPr>
      <w:r>
        <w:rPr>
          <w:spacing w:val="-3"/>
        </w:rPr>
        <w:t>=============================================================</w:t>
      </w: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p>
    <w:p w:rsidR="008D7770" w:rsidRDefault="008D7770">
      <w:pPr>
        <w:tabs>
          <w:tab w:val="left" w:pos="-1440"/>
          <w:tab w:val="left" w:pos="-720"/>
        </w:tabs>
        <w:spacing w:line="240" w:lineRule="atLeast"/>
        <w:jc w:val="both"/>
        <w:rPr>
          <w:spacing w:val="-3"/>
        </w:rPr>
      </w:pPr>
    </w:p>
    <w:sectPr w:rsidR="008D777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7770" w:rsidRDefault="008D7770">
      <w:pPr>
        <w:spacing w:line="20" w:lineRule="exact"/>
        <w:rPr>
          <w:rFonts w:cs="Times New Roman"/>
          <w:sz w:val="20"/>
        </w:rPr>
      </w:pPr>
    </w:p>
  </w:endnote>
  <w:endnote w:type="continuationSeparator" w:id="0">
    <w:p w:rsidR="008D7770" w:rsidRDefault="008D7770">
      <w:r>
        <w:rPr>
          <w:rFonts w:cs="Times New Roman"/>
          <w:sz w:val="20"/>
        </w:rPr>
        <w:t xml:space="preserve"> </w:t>
      </w:r>
    </w:p>
  </w:endnote>
  <w:endnote w:type="continuationNotice" w:id="1">
    <w:p w:rsidR="008D7770" w:rsidRDefault="008D777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7770" w:rsidRDefault="008D7770">
      <w:r>
        <w:rPr>
          <w:rFonts w:cs="Times New Roman"/>
          <w:sz w:val="20"/>
        </w:rPr>
        <w:separator/>
      </w:r>
    </w:p>
  </w:footnote>
  <w:footnote w:type="continuationSeparator" w:id="0">
    <w:p w:rsidR="008D7770" w:rsidRDefault="008D77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5E86"/>
    <w:rsid w:val="00345E86"/>
    <w:rsid w:val="006D25B5"/>
    <w:rsid w:val="008D77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6BE87E-978E-403A-AE77-1EF26A3E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1812</Words>
  <Characters>9967</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