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625 - 673  periode 15de - 16de eeuw</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600</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600  periode 1553</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 vonnisnr. 4</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DIERICX LEYTEN en ANTHONIS LEYTEN zijn zoon verklaren dat Dierick eerijds van de weduwe van EVERAERT VAN DOERNE in pacht heeft genomen een hoeve onder de vrijheid OSS voor een termijn van 12 jaren en de pachttermijn was nu halverwege nl. in het 6e jaar - JAN MONICX gehuwd met de dochter van genoemde weduwe maakt problemen rond die verpachting - lange akte - 16 mei 1553.</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fol.12 vonnisnr. 6</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JAN CLOOT was voor de wethouders van DEN BOSCH moeten komen op verzoek van MATHYS VAN LYDORP gemachtigde van het CONVENT DER PREDIKHEREN in DEN BOSCH in verband met een cijns van 10 Carolusguldens rustend op het huis van Jan staande in Den Bosch DEN HAESEWINT - 5 mei 1553. </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fol.38 vonnisnr. 19</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HEER VAN HELMOND JOES VAN CORTENBACH heeft verklaard dat hem toebehoorde de stad het land en de heerlijkheid Helmond zoals die in het verleden toebehoorden aan zijn voorouders - hierbij hoorde ook de hoge lage en middele jurisdictie en alle straten stegen en opstallen - er ontstaat een conflict over de bomen op genoemde straten stegen en opstallen en het recht van HOUTSCHAT en een menigte volk is met bijlen en kapmessen de straten in getrokken met de intentie de bomen om te hakken en ermee te doen wat ze zelf wilden - deze poging wordt verijdeld en er wordt een rechtzaak aangespannen - juridisch een inte</w:t>
      </w:r>
      <w:r>
        <w:rPr>
          <w:rFonts w:ascii="Times New Roman" w:hAnsi="Times New Roman" w:cs="Times New Roman"/>
          <w:spacing w:val="-2"/>
        </w:rPr>
        <w:softHyphen/>
        <w:t>ressante acte - 20 mei 1553.</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600 periode 1553</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JANNE VAN AXELE geboren te MECHELEN en zijn opponent AERDEN TROCX met betrekking tot het bezit van de parochiekerk of vicarie van NUENHEM bij GELDROP [vgl. Nuenen] - 23 juni 1553.</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600  periode 1553</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fol.99 vonnisnr. 41</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en FRANCHOIS SOMMANS cum suis kinderen en erfgenamen van wijlen PEETEREN SOMMANS WILLEMSSOEN verklaren dat er een geschil is gerezen tussen wijlen PEETEREN SOMMANS hun vader en wijlen LIJSBETTEN weduwe van JACOP HACK dochter PEETERS SOM</w:t>
      </w:r>
      <w:r>
        <w:rPr>
          <w:rFonts w:ascii="Times New Roman" w:hAnsi="Times New Roman" w:cs="Times New Roman"/>
          <w:spacing w:val="-2"/>
        </w:rPr>
        <w:softHyphen/>
        <w:t>MANS alias TYMMERMANS en MEESTER MERCELIS haar zoon n.a.v. achtergelaten erfgoederen - als arbiters treden op: GOESSEN BOECK, JANNE MARCELISSOEN VAN EEKART, WILLEM HENRICXSSOEN VAN BOEXTEL en GHYSBERTEN VAN GESTEL JANSSOEN - 12 september 1553.</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fol.112 vonnisnr. 50</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Pater mater en anderen van het CONVENT van SINT GEERTRUYDEN binnen de stad DEN BOSCH tegen JOACHIM VAN DEN HOEVELE cum suis - vervolgprocedure - 21 april 1553.</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fol.118 vonnisnr. ...</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MELCHIOR PLYER tegen CLAES TAPHOREN voor de wethouders van DEN BOSCH - 12 juni 1553.</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fol.130 vonnisnr. ...</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en BROEDER ADAMME VAN STERCXSEL pater van het SINT GEER</w:t>
      </w:r>
      <w:r>
        <w:rPr>
          <w:rFonts w:ascii="Times New Roman" w:hAnsi="Times New Roman" w:cs="Times New Roman"/>
          <w:spacing w:val="-2"/>
        </w:rPr>
        <w:softHyphen/>
        <w:t xml:space="preserve">TRUIKLOOSTER binnen DEN </w:t>
      </w:r>
      <w:r>
        <w:rPr>
          <w:rFonts w:ascii="Times New Roman" w:hAnsi="Times New Roman" w:cs="Times New Roman"/>
          <w:spacing w:val="-2"/>
        </w:rPr>
        <w:lastRenderedPageBreak/>
        <w:t>BOSCH en HEER en BROEDER JANNE SWIERS pater van het klooster vn SINT ANNENBORCH te ROSMALEN als executeurs van het testament van HEER WOUTER ADRIAENSSOEN VAN STERCXSSEL tegen GOERDEN VAN DER STRATEN, RUTHEN RUYTERS en LENAERDEN JANSSOEN - 13 juli 1553.</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C735E2" w:rsidRDefault="00C735E2">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C735E2" w:rsidRDefault="00C735E2">
      <w:pPr>
        <w:suppressAutoHyphens/>
        <w:spacing w:line="240" w:lineRule="atLeast"/>
        <w:jc w:val="both"/>
        <w:rPr>
          <w:rFonts w:ascii="Times New Roman" w:hAnsi="Times New Roman" w:cs="Times New Roman"/>
          <w:spacing w:val="-2"/>
        </w:rPr>
      </w:pPr>
    </w:p>
    <w:p w:rsidR="00C735E2" w:rsidRDefault="00C735E2">
      <w:pPr>
        <w:suppressAutoHyphens/>
        <w:spacing w:line="240" w:lineRule="atLeast"/>
        <w:jc w:val="both"/>
        <w:rPr>
          <w:spacing w:val="-3"/>
          <w:sz w:val="24"/>
          <w:szCs w:val="24"/>
        </w:rPr>
      </w:pPr>
      <w:r>
        <w:rPr>
          <w:spacing w:val="-3"/>
          <w:sz w:val="24"/>
          <w:szCs w:val="24"/>
        </w:rPr>
        <w:t xml:space="preserve">  </w:t>
      </w:r>
    </w:p>
    <w:sectPr w:rsidR="00C735E2" w:rsidSect="00C735E2">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5EC3" w:rsidRDefault="009F5EC3">
      <w:pPr>
        <w:spacing w:line="20" w:lineRule="exact"/>
        <w:rPr>
          <w:sz w:val="24"/>
          <w:szCs w:val="24"/>
        </w:rPr>
      </w:pPr>
    </w:p>
  </w:endnote>
  <w:endnote w:type="continuationSeparator" w:id="0">
    <w:p w:rsidR="009F5EC3" w:rsidRDefault="009F5EC3" w:rsidP="00C735E2">
      <w:r>
        <w:rPr>
          <w:sz w:val="24"/>
          <w:szCs w:val="24"/>
        </w:rPr>
        <w:t xml:space="preserve"> </w:t>
      </w:r>
    </w:p>
  </w:endnote>
  <w:endnote w:type="continuationNotice" w:id="1">
    <w:p w:rsidR="009F5EC3" w:rsidRDefault="009F5EC3" w:rsidP="00C735E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5EC3" w:rsidRDefault="009F5EC3" w:rsidP="00C735E2">
      <w:r>
        <w:rPr>
          <w:sz w:val="24"/>
          <w:szCs w:val="24"/>
        </w:rPr>
        <w:separator/>
      </w:r>
    </w:p>
  </w:footnote>
  <w:footnote w:type="continuationSeparator" w:id="0">
    <w:p w:rsidR="009F5EC3" w:rsidRDefault="009F5EC3" w:rsidP="00C73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78200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735E2"/>
    <w:rsid w:val="00075F0D"/>
    <w:rsid w:val="008D78AA"/>
    <w:rsid w:val="009F5EC3"/>
    <w:rsid w:val="00C735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C735E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C735E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3003</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