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D3E4F" w14:textId="77777777" w:rsidR="001F0567" w:rsidRDefault="001F0567">
      <w:pPr>
        <w:rPr>
          <w:sz w:val="20"/>
        </w:rPr>
      </w:pPr>
      <w:r>
        <w:rPr>
          <w:sz w:val="20"/>
        </w:rPr>
        <w:t>RANB Toegangsnummer 1107</w:t>
      </w:r>
    </w:p>
    <w:p w14:paraId="2B2BFE58" w14:textId="77777777" w:rsidR="001F0567" w:rsidRDefault="001F0567">
      <w:pPr>
        <w:rPr>
          <w:sz w:val="20"/>
        </w:rPr>
      </w:pPr>
      <w:r>
        <w:rPr>
          <w:sz w:val="20"/>
        </w:rPr>
        <w:t>Microfiches Algemeen Rijksarchief Brussel</w:t>
      </w:r>
    </w:p>
    <w:p w14:paraId="51C93ECC" w14:textId="77777777" w:rsidR="001F0567" w:rsidRDefault="001F0567">
      <w:pPr>
        <w:rPr>
          <w:sz w:val="20"/>
        </w:rPr>
      </w:pPr>
      <w:r>
        <w:rPr>
          <w:sz w:val="20"/>
        </w:rPr>
        <w:t>REKENKAMER DELEN - REMISSIEBOEKEN BRUSSEL</w:t>
      </w:r>
    </w:p>
    <w:p w14:paraId="307B073B" w14:textId="77777777" w:rsidR="001F0567" w:rsidRDefault="001F0567">
      <w:pPr>
        <w:rPr>
          <w:sz w:val="20"/>
        </w:rPr>
      </w:pPr>
      <w:r>
        <w:rPr>
          <w:sz w:val="20"/>
        </w:rPr>
        <w:t>Inv.nrs. 645-663 periode 1556-1648</w:t>
      </w:r>
    </w:p>
    <w:p w14:paraId="7AD12438" w14:textId="77777777" w:rsidR="001F0567" w:rsidRDefault="001F0567">
      <w:pPr>
        <w:rPr>
          <w:sz w:val="20"/>
        </w:rPr>
      </w:pPr>
      <w:r>
        <w:rPr>
          <w:sz w:val="20"/>
        </w:rPr>
        <w:t>Inventarisnummer 651</w:t>
      </w:r>
    </w:p>
    <w:p w14:paraId="4467649D" w14:textId="77777777" w:rsidR="001F0567" w:rsidRDefault="001F0567">
      <w:pPr>
        <w:rPr>
          <w:sz w:val="20"/>
        </w:rPr>
      </w:pPr>
    </w:p>
    <w:p w14:paraId="4D8BC702" w14:textId="77777777" w:rsidR="001F0567" w:rsidRDefault="001F0567">
      <w:pPr>
        <w:pBdr>
          <w:top w:val="double" w:sz="6" w:space="1" w:color="auto"/>
          <w:bottom w:val="double" w:sz="6" w:space="1" w:color="auto"/>
        </w:pBdr>
        <w:rPr>
          <w:sz w:val="20"/>
        </w:rPr>
      </w:pPr>
      <w:r>
        <w:rPr>
          <w:sz w:val="20"/>
        </w:rPr>
        <w:t>FICHE 1 inventarisnummer 651 periode 1592</w:t>
      </w:r>
    </w:p>
    <w:p w14:paraId="065E67C1" w14:textId="77777777" w:rsidR="001F0567" w:rsidRDefault="001F0567">
      <w:pPr>
        <w:rPr>
          <w:sz w:val="20"/>
        </w:rPr>
      </w:pPr>
    </w:p>
    <w:p w14:paraId="6EBF0A49" w14:textId="77777777" w:rsidR="001F0567" w:rsidRDefault="001F0567">
      <w:pPr>
        <w:rPr>
          <w:sz w:val="20"/>
          <w:lang w:val="fr-FR"/>
        </w:rPr>
      </w:pPr>
      <w:r>
        <w:rPr>
          <w:sz w:val="20"/>
          <w:lang w:val="fr-FR"/>
        </w:rPr>
        <w:t>Titelpagina: remissions, legitimations 1592</w:t>
      </w:r>
    </w:p>
    <w:p w14:paraId="31FA950C" w14:textId="77777777" w:rsidR="001F0567" w:rsidRDefault="001F0567">
      <w:pPr>
        <w:rPr>
          <w:sz w:val="20"/>
          <w:lang w:val="fr-FR"/>
        </w:rPr>
      </w:pPr>
    </w:p>
    <w:p w14:paraId="7534B104" w14:textId="77777777" w:rsidR="001F0567" w:rsidRDefault="001F0567">
      <w:pPr>
        <w:rPr>
          <w:sz w:val="20"/>
        </w:rPr>
      </w:pPr>
      <w:r>
        <w:rPr>
          <w:sz w:val="20"/>
        </w:rPr>
        <w:t>fol.7v</w:t>
      </w:r>
    </w:p>
    <w:p w14:paraId="0177E77C" w14:textId="77777777" w:rsidR="001F0567" w:rsidRDefault="001F0567">
      <w:pPr>
        <w:rPr>
          <w:sz w:val="20"/>
        </w:rPr>
      </w:pPr>
      <w:r>
        <w:rPr>
          <w:sz w:val="20"/>
        </w:rPr>
        <w:t xml:space="preserve">Supplicatie van PEETER GODEVAERTS SMITSS. uit LOMMEL, een jongeman van 22 jaren. Hij verklaart daarin dat wijlen AERDT MARIEN op 1 september jl. de dag van de Lommelse kermis, ‘goede chiere heeft gemaect ten huyse van PETER MARIEN zynen neve woonende </w:t>
      </w:r>
      <w:r>
        <w:rPr>
          <w:sz w:val="20"/>
        </w:rPr>
        <w:t>aende PLAETSE aldaer ende overschoncken by zyne huysvrouwe wech ende thuyswaerts geleydt zynde, heeft terstont wederom willen keeren ten huyse des voers. Peters ende overmidts zyne voers. huysvrouwe hem nyet en conste beweghen noch voorts gecryghen, heeft den suppliant, die hen volgende was gebeden dat hy haer soude willen helpen haeren man thuyswaerts te leyden, dwelck die suppliant, wesende oyck overschoncken, begerende te doen, heeft den voers. Aerdt Marien metten mouwe oft slippe genomen willende hem me</w:t>
      </w:r>
      <w:r>
        <w:rPr>
          <w:sz w:val="20"/>
        </w:rPr>
        <w:t>tte voers. zyne huysvrouwe thuys leyden, dwelck hy nyet willende gedooghen, heeft teghen den suppliant geseeght dat hy hem zoude laeten gaen oft dat hy hen alle beyde onder de kinnen zoude stooten, welcken volgende heeft die suppliant den voers. Aerdt verlaten, die welcke die suppliant ingaende, is hem opgevallen van achtere staende die suppliant voer eenen poel, heffende synen arm op in meyninghe hem te slaen, dwelck hy suppliant gewaer worddende ende gheen vlieden hebbende heeft achterwaerts met zynen eet</w:t>
      </w:r>
      <w:r>
        <w:rPr>
          <w:sz w:val="20"/>
        </w:rPr>
        <w:t>mes naeden vs. Aerdt gesteken ende denselven deur ongeval gequetst in zyn syde, waervan hy neghen oft thien daghen daernae deser werelt is overleden, tot syns suppliants vuyterste leetwesen die welcke nu gelegen omtrent zes weken heeft gesuent tegen die weduwe ende vrienden der voers. afllyvighen, die den suppliant tvoers. feyt in zyn dootbedde heeft vergeven voer zoo vele hem aenginck mede vercleert ende bekendt dat zy te voerens noyt eenighen twist oft onvrede onder malcanderen en hadden gehadt – desen ae</w:t>
      </w:r>
      <w:r>
        <w:rPr>
          <w:sz w:val="20"/>
        </w:rPr>
        <w:t xml:space="preserve">ngemerckt ende dat die suppliant noyt vechtbaer oft strybaer en is geweest, maer met eenen iegelycken altyt vreedtsamentlyck heeft geleeft ende geconverseert gehadt, dat hy oyck is ende altyt is geweest vanden oude catholique religie zonder oyt andere religie oft partye aengehangen te hebben, gelyck hy suppliant seeght, soo heeft hy oitmoedelyck gebeden dat ons gelieven wille hem te verleenen openen brieven van remissie’. Dat gebeurt ook – 17 januari 1592. </w:t>
      </w:r>
    </w:p>
    <w:p w14:paraId="6FF82B6E" w14:textId="77777777" w:rsidR="001F0567" w:rsidRDefault="001F0567">
      <w:pPr>
        <w:rPr>
          <w:sz w:val="20"/>
        </w:rPr>
      </w:pPr>
    </w:p>
    <w:p w14:paraId="1EA6FB52" w14:textId="77777777" w:rsidR="001F0567" w:rsidRDefault="001F0567">
      <w:pPr>
        <w:rPr>
          <w:sz w:val="20"/>
        </w:rPr>
      </w:pPr>
      <w:r>
        <w:rPr>
          <w:sz w:val="20"/>
        </w:rPr>
        <w:t>fol.14</w:t>
      </w:r>
    </w:p>
    <w:p w14:paraId="07044E70" w14:textId="77777777" w:rsidR="001F0567" w:rsidRDefault="001F0567">
      <w:pPr>
        <w:rPr>
          <w:sz w:val="20"/>
        </w:rPr>
      </w:pPr>
      <w:r>
        <w:rPr>
          <w:sz w:val="20"/>
        </w:rPr>
        <w:t>Supplicatie ontvangen van TOBIAS VAN EYNAT</w:t>
      </w:r>
      <w:r>
        <w:rPr>
          <w:sz w:val="20"/>
        </w:rPr>
        <w:t>EN oud 26 jaren die verklaart al diverse jaren in dienst te zijn van de compagnie paardenvolk onder leiding van kapitein GEORGIO BASTA. Tobias was een natuurlijke zoon van wijlen WYNANDE VAN EYNATEN tijdens zijn leven COMMANDEUR van GEMERT en zijn biologische moeder is CATHELYNE VALCX die toen nog ongehuwd was. Vanwege zijn dienst in het leger wilde hij wel een abolitiebrief in verband met zijn geboorte uit een ongehuwde vrouw. Hij krijgt zijn legitimatiebrief – 14 maart 1592.</w:t>
      </w:r>
    </w:p>
    <w:p w14:paraId="4B41C367" w14:textId="77777777" w:rsidR="001F0567" w:rsidRDefault="001F0567">
      <w:pPr>
        <w:rPr>
          <w:sz w:val="20"/>
        </w:rPr>
      </w:pPr>
    </w:p>
    <w:p w14:paraId="34F22068" w14:textId="77777777" w:rsidR="001F0567" w:rsidRDefault="001F0567">
      <w:pPr>
        <w:rPr>
          <w:sz w:val="20"/>
        </w:rPr>
      </w:pPr>
    </w:p>
    <w:p w14:paraId="47D21564" w14:textId="77777777" w:rsidR="001F0567" w:rsidRDefault="001F0567">
      <w:pPr>
        <w:rPr>
          <w:sz w:val="20"/>
        </w:rPr>
      </w:pPr>
    </w:p>
    <w:p w14:paraId="618B6E79" w14:textId="77777777" w:rsidR="001F0567" w:rsidRDefault="001F0567">
      <w:pPr>
        <w:rPr>
          <w:sz w:val="20"/>
        </w:rPr>
      </w:pPr>
    </w:p>
    <w:p w14:paraId="3D1A0D4C" w14:textId="77777777" w:rsidR="001F0567" w:rsidRDefault="001F0567">
      <w:pPr>
        <w:rPr>
          <w:sz w:val="20"/>
        </w:rPr>
      </w:pPr>
      <w:r>
        <w:rPr>
          <w:sz w:val="20"/>
        </w:rPr>
        <w:t>fol.29v</w:t>
      </w:r>
    </w:p>
    <w:p w14:paraId="2B7CE152" w14:textId="77777777" w:rsidR="001F0567" w:rsidRDefault="001F0567">
      <w:pPr>
        <w:rPr>
          <w:sz w:val="20"/>
        </w:rPr>
      </w:pPr>
      <w:r>
        <w:rPr>
          <w:sz w:val="20"/>
        </w:rPr>
        <w:t>Er is een supplica</w:t>
      </w:r>
      <w:r>
        <w:rPr>
          <w:sz w:val="20"/>
        </w:rPr>
        <w:t>tie ontvangen van de pater, mater, procuratessen en de gemene conventualen van het CONVENT van de ‘SUSTEREN VAN ORTHEN’- [vervolg op ficvhe 2] in DEN BOSCH</w:t>
      </w:r>
    </w:p>
    <w:p w14:paraId="70DCCFEB" w14:textId="77777777" w:rsidR="001F0567" w:rsidRDefault="001F0567">
      <w:pPr>
        <w:rPr>
          <w:sz w:val="20"/>
        </w:rPr>
      </w:pPr>
    </w:p>
    <w:p w14:paraId="62214EFF" w14:textId="77777777" w:rsidR="001F0567" w:rsidRDefault="001F0567">
      <w:pPr>
        <w:pBdr>
          <w:top w:val="double" w:sz="6" w:space="1" w:color="auto"/>
          <w:bottom w:val="double" w:sz="6" w:space="1" w:color="auto"/>
        </w:pBdr>
        <w:rPr>
          <w:sz w:val="20"/>
        </w:rPr>
      </w:pPr>
      <w:r>
        <w:rPr>
          <w:sz w:val="20"/>
        </w:rPr>
        <w:t>FICHE 2 inventarisnummer 651 periode 1592</w:t>
      </w:r>
    </w:p>
    <w:p w14:paraId="32E08ABE" w14:textId="77777777" w:rsidR="001F0567" w:rsidRDefault="001F0567">
      <w:pPr>
        <w:rPr>
          <w:sz w:val="20"/>
        </w:rPr>
      </w:pPr>
    </w:p>
    <w:p w14:paraId="6B376965" w14:textId="77777777" w:rsidR="001F0567" w:rsidRDefault="001F0567">
      <w:pPr>
        <w:rPr>
          <w:sz w:val="20"/>
        </w:rPr>
      </w:pPr>
      <w:r>
        <w:rPr>
          <w:sz w:val="20"/>
        </w:rPr>
        <w:t>die verklaren dat zij ’gedwonghen zyn geweest duer onse vyanden ende rebellen aff te breken zekere haere WINTMOLEN gestaen hebbende vuyt onser voers. stadt van sHertogenbossche ter plaetsen geheeten den OUDEN HULS ende over zulcx verworven onse octroye om den voerscreven wyntmolen te versetten zoe zy verseth he</w:t>
      </w:r>
      <w:r>
        <w:rPr>
          <w:sz w:val="20"/>
        </w:rPr>
        <w:t>bben in hunnen convente op haer selffs erve – nu ist zoo dat de voers. octroye innehoudende clausels van intermentien (?) ende alzoo tzelfde nyet geschiet en is oyck dat inden voers. octroye achtergelaeten is dat die supplianten die voers. wyntmolen zouden moeghen laten bemalen ten gemeynen molster als andere wintmoelens van gelycken getransporteert in onser voerscreven stadt, tenderende al tot grooten interest vande voers. supplianten die voer het affbreken ende versetten vanden voers. wintmolen eene groot</w:t>
      </w:r>
      <w:r>
        <w:rPr>
          <w:sz w:val="20"/>
        </w:rPr>
        <w:t xml:space="preserve">e somme zyn geschadicht </w:t>
      </w:r>
      <w:r>
        <w:rPr>
          <w:sz w:val="20"/>
        </w:rPr>
        <w:lastRenderedPageBreak/>
        <w:t>geweest, boven dyen hebben die supplianten grooten dienst gedaen aenden gecommitteerden vanden vivres van onsen leger in het malen van henne graenen, deurdyen dat andere molders weygerachtich waeren de voers. granen te malen ten waere op gemeynen molster vuyt de voers. graenen te scheppen, oyck zyn die supplianten beducht datter soude moghen rysen swaricheyt omme de voers. octroye te intermeren (?) , deurdyen dat zy verstaen dat eenighe conventen bynnen onser voers. stadt, daeromme s</w:t>
      </w:r>
      <w:r>
        <w:rPr>
          <w:sz w:val="20"/>
        </w:rPr>
        <w:t>waricheyt nopende haere octroyen van acquesten hebben gehadt hoe wel tzelve egeensins gemeynschap en heeft met dezer zaeke die nyet en kan gerekent geworden nyeuw acquest (dan als voers. is) grootelyck in desen zyn beschadicht – Soe hebben ons die voers. supplianten ons zeer oytmoedelyck gebeden dat tzelve aengemerckt ons gelieven zoude hen te verleenen behoorlycke octroye oft acte omme de voers. wintmolen te moghen bemalen ten gemeynen gemale scheppende molster als andere die moelens zyn hebbende binnen on</w:t>
      </w:r>
      <w:r>
        <w:rPr>
          <w:sz w:val="20"/>
        </w:rPr>
        <w:t>se voers. stadt ende gelyck van nyeuwe is gegundt den convente van BASELDONCK  nyettegenstaende de voers. octroye nyet en is geintermeert ende inden zelven is vuytgebleven het voers. poinct ten gemeynen gemale, te meer dat wy oft imandt andere aldaer gheen dwangmolens en hebben.</w:t>
      </w:r>
    </w:p>
    <w:p w14:paraId="47D347BE" w14:textId="77777777" w:rsidR="001F0567" w:rsidRDefault="001F0567">
      <w:pPr>
        <w:rPr>
          <w:sz w:val="20"/>
        </w:rPr>
      </w:pPr>
      <w:r>
        <w:rPr>
          <w:sz w:val="20"/>
        </w:rPr>
        <w:t xml:space="preserve">DOEN TE WETENE……. op advies van de president en lieden van de rekenkamer en van de rentmeester in het kwartier van Den Bosch en de tresorier generaal alsmede de afgevaardigden van de afdeling domeinen en financiën wordt het octrooi </w:t>
      </w:r>
      <w:r>
        <w:rPr>
          <w:sz w:val="20"/>
        </w:rPr>
        <w:t xml:space="preserve">verleend dat ze deze molen mogen bemalen ‘ten gemeynen molster’ zoals de andere windmolen ten gerieve van de burgers en ingezetenen van de stad, tegen een cijns van 2 Karolusgulden boven de oude cijns uit de windmolen, te betalen op de feestdag van Sint Jacob 25 juli en wel de eerste betaaldag 25 juli 1592 – Gegeven 18 april 1592.     </w:t>
      </w:r>
    </w:p>
    <w:p w14:paraId="0F742E33" w14:textId="77777777" w:rsidR="001F0567" w:rsidRDefault="001F0567">
      <w:pPr>
        <w:rPr>
          <w:sz w:val="20"/>
        </w:rPr>
      </w:pPr>
    </w:p>
    <w:p w14:paraId="771D1CC3" w14:textId="77777777" w:rsidR="001F0567" w:rsidRDefault="001F0567">
      <w:pPr>
        <w:pBdr>
          <w:top w:val="double" w:sz="6" w:space="1" w:color="auto"/>
          <w:bottom w:val="double" w:sz="6" w:space="1" w:color="auto"/>
        </w:pBdr>
        <w:rPr>
          <w:sz w:val="20"/>
        </w:rPr>
      </w:pPr>
      <w:r>
        <w:rPr>
          <w:sz w:val="20"/>
        </w:rPr>
        <w:t>EINDE VAN DIT INVENTARISNUMMER</w:t>
      </w:r>
    </w:p>
    <w:p w14:paraId="32E5548F" w14:textId="77777777" w:rsidR="001F0567" w:rsidRDefault="001F0567"/>
    <w:p w14:paraId="22E9C532" w14:textId="77777777" w:rsidR="001F0567" w:rsidRDefault="001F0567"/>
    <w:sectPr w:rsidR="001F05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B38B5"/>
    <w:rsid w:val="0012651E"/>
    <w:rsid w:val="001F0567"/>
    <w:rsid w:val="00BB38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19B59"/>
  <w15:chartTrackingRefBased/>
  <w15:docId w15:val="{5B450B53-159A-4D35-90F1-EF4F75941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923</Words>
  <Characters>5081</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