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13A5E" w14:textId="77777777" w:rsidR="00000000" w:rsidRDefault="00000000">
      <w:pPr>
        <w:tabs>
          <w:tab w:val="left" w:pos="-1440"/>
          <w:tab w:val="left" w:pos="-720"/>
        </w:tabs>
        <w:rPr>
          <w:b/>
          <w:spacing w:val="-3"/>
          <w:sz w:val="22"/>
        </w:rPr>
      </w:pPr>
      <w:r>
        <w:rPr>
          <w:b/>
          <w:spacing w:val="-3"/>
          <w:sz w:val="22"/>
        </w:rPr>
        <w:t>V. DE CIJNSKRING HELMOND IN PE</w:t>
      </w:r>
      <w:r>
        <w:rPr>
          <w:b/>
          <w:spacing w:val="-3"/>
          <w:sz w:val="22"/>
        </w:rPr>
        <w:t>R</w:t>
      </w:r>
      <w:r>
        <w:rPr>
          <w:b/>
          <w:spacing w:val="-3"/>
          <w:sz w:val="22"/>
        </w:rPr>
        <w:t>SPECTIEF</w:t>
      </w:r>
      <w:r>
        <w:rPr>
          <w:rStyle w:val="Voetnootmarkering"/>
          <w:b/>
          <w:spacing w:val="-3"/>
          <w:sz w:val="22"/>
        </w:rPr>
        <w:footnoteReference w:customMarkFollows="1" w:id="1"/>
        <w:t>*</w:t>
      </w:r>
      <w:r>
        <w:rPr>
          <w:b/>
          <w:spacing w:val="-3"/>
          <w:sz w:val="22"/>
        </w:rPr>
        <w:t xml:space="preserve"> </w:t>
      </w:r>
    </w:p>
    <w:p w14:paraId="7AA92799" w14:textId="77777777" w:rsidR="00000000" w:rsidRDefault="00000000">
      <w:pPr>
        <w:tabs>
          <w:tab w:val="left" w:pos="-1440"/>
          <w:tab w:val="left" w:pos="-720"/>
        </w:tabs>
        <w:rPr>
          <w:b/>
          <w:spacing w:val="-3"/>
          <w:sz w:val="22"/>
        </w:rPr>
      </w:pPr>
    </w:p>
    <w:p w14:paraId="466117A9" w14:textId="77777777" w:rsidR="00000000" w:rsidRDefault="00000000">
      <w:pPr>
        <w:tabs>
          <w:tab w:val="left" w:pos="-1440"/>
          <w:tab w:val="left" w:pos="-720"/>
        </w:tabs>
        <w:rPr>
          <w:b/>
          <w:spacing w:val="-3"/>
          <w:sz w:val="19"/>
        </w:rPr>
      </w:pPr>
      <w:r>
        <w:rPr>
          <w:spacing w:val="-3"/>
          <w:sz w:val="19"/>
        </w:rPr>
        <w:t>Dit hoofdstuk bestaat uit twee onderdelen. Wij besteden eerst aandacht aan het gebied dat onderwerp van o</w:t>
      </w:r>
      <w:r>
        <w:rPr>
          <w:spacing w:val="-3"/>
          <w:sz w:val="19"/>
        </w:rPr>
        <w:t>n</w:t>
      </w:r>
      <w:r>
        <w:rPr>
          <w:spacing w:val="-3"/>
          <w:sz w:val="19"/>
        </w:rPr>
        <w:t>derzoek is: de cijns</w:t>
      </w:r>
      <w:r>
        <w:rPr>
          <w:spacing w:val="-3"/>
          <w:sz w:val="19"/>
        </w:rPr>
        <w:softHyphen/>
        <w:t>kring van Hel</w:t>
      </w:r>
      <w:r>
        <w:rPr>
          <w:spacing w:val="-3"/>
          <w:sz w:val="19"/>
        </w:rPr>
        <w:softHyphen/>
        <w:t>mond: qua oorsprong, landschap, geologie, waterhuishouding, archeologie, be</w:t>
      </w:r>
      <w:r>
        <w:rPr>
          <w:spacing w:val="-3"/>
          <w:sz w:val="19"/>
        </w:rPr>
        <w:softHyphen/>
        <w:t>woning, ontginning en bezitsverhoudingen. Vervolgens zullen wij deze studie in relatie plaatsen met b</w:t>
      </w:r>
      <w:r>
        <w:rPr>
          <w:spacing w:val="-3"/>
          <w:sz w:val="19"/>
        </w:rPr>
        <w:t>e</w:t>
      </w:r>
      <w:r>
        <w:rPr>
          <w:spacing w:val="-3"/>
          <w:sz w:val="19"/>
        </w:rPr>
        <w:t>staan</w:t>
      </w:r>
      <w:r>
        <w:rPr>
          <w:spacing w:val="-3"/>
          <w:sz w:val="19"/>
        </w:rPr>
        <w:softHyphen/>
        <w:t>de lokale en regionale naamkundige studies om aan te geven wat het b</w:t>
      </w:r>
      <w:r>
        <w:rPr>
          <w:spacing w:val="-3"/>
          <w:sz w:val="19"/>
        </w:rPr>
        <w:t>e</w:t>
      </w:r>
      <w:r>
        <w:rPr>
          <w:spacing w:val="-3"/>
          <w:sz w:val="19"/>
        </w:rPr>
        <w:t>lang van deze regionale studie is.</w:t>
      </w:r>
    </w:p>
    <w:p w14:paraId="15D58AA2" w14:textId="77777777" w:rsidR="00000000" w:rsidRDefault="00000000">
      <w:pPr>
        <w:tabs>
          <w:tab w:val="left" w:pos="-1440"/>
          <w:tab w:val="left" w:pos="-720"/>
        </w:tabs>
        <w:rPr>
          <w:b/>
          <w:spacing w:val="-3"/>
          <w:sz w:val="19"/>
        </w:rPr>
      </w:pPr>
    </w:p>
    <w:p w14:paraId="3C343355" w14:textId="77777777" w:rsidR="00000000" w:rsidRDefault="00000000">
      <w:pPr>
        <w:tabs>
          <w:tab w:val="left" w:pos="-1440"/>
          <w:tab w:val="left" w:pos="-720"/>
        </w:tabs>
        <w:rPr>
          <w:b/>
          <w:spacing w:val="-3"/>
          <w:sz w:val="19"/>
        </w:rPr>
      </w:pPr>
      <w:r>
        <w:rPr>
          <w:b/>
          <w:spacing w:val="-3"/>
        </w:rPr>
        <w:t>DE CIJNSKRING</w:t>
      </w:r>
    </w:p>
    <w:p w14:paraId="39A20C7C" w14:textId="77777777" w:rsidR="00000000" w:rsidRDefault="00000000">
      <w:pPr>
        <w:tabs>
          <w:tab w:val="left" w:pos="-1440"/>
          <w:tab w:val="left" w:pos="-720"/>
        </w:tabs>
        <w:rPr>
          <w:b/>
          <w:i/>
          <w:spacing w:val="-3"/>
          <w:sz w:val="19"/>
        </w:rPr>
      </w:pPr>
    </w:p>
    <w:p w14:paraId="18C5CB43" w14:textId="77777777" w:rsidR="00000000" w:rsidRDefault="00000000">
      <w:pPr>
        <w:tabs>
          <w:tab w:val="left" w:pos="-1440"/>
          <w:tab w:val="left" w:pos="-720"/>
        </w:tabs>
        <w:rPr>
          <w:i/>
          <w:spacing w:val="-3"/>
        </w:rPr>
      </w:pPr>
      <w:r>
        <w:rPr>
          <w:i/>
          <w:spacing w:val="-3"/>
        </w:rPr>
        <w:t>Het graafschap Rode en de cijnskring Helmond</w:t>
      </w:r>
    </w:p>
    <w:p w14:paraId="7713977D" w14:textId="77777777" w:rsidR="00000000" w:rsidRDefault="00000000">
      <w:pPr>
        <w:tabs>
          <w:tab w:val="left" w:pos="-1440"/>
          <w:tab w:val="left" w:pos="-720"/>
        </w:tabs>
        <w:rPr>
          <w:sz w:val="19"/>
        </w:rPr>
      </w:pPr>
      <w:r>
        <w:rPr>
          <w:sz w:val="19"/>
        </w:rPr>
        <w:t>Hoe de Brabantse hertogen in het bezit gekomen zijn van het gebied wat later als Meierij van ‘s-Hertogen</w:t>
      </w:r>
      <w:r>
        <w:rPr>
          <w:sz w:val="19"/>
        </w:rPr>
        <w:softHyphen/>
        <w:t>bosch werd aangeduid, is in details nog steeds onduidelijk. We weten dat een nietsontziende politiek van usurpatie, dwang en aankoop daarbij naast het leenstelsel belangrijk is geweest. In het midden van de 10</w:t>
      </w:r>
      <w:r>
        <w:rPr>
          <w:sz w:val="16"/>
          <w:vertAlign w:val="superscript"/>
        </w:rPr>
        <w:t>de</w:t>
      </w:r>
      <w:r>
        <w:rPr>
          <w:sz w:val="19"/>
        </w:rPr>
        <w:t xml:space="preserve"> eeuw waren naar alle waarschijnlijkheid leden van de familie der Ansfrieds graven van Taxandrië. Ansfried werd in 995 bisschop van Utrecht. Hij had geen nakomelingen. Het Utrechtse bisdom had hij verkregen in ruil voor een aantal concessies, waarbij vermoedelijk ook Taxandrië betrokken was. In ieder geval werd al tijdens zijn leven een deel van het graafschap gebruikt om de mark Antwerpen op te richten. Na de dood van Ansfried in 1010 raakten zowel Antwerpen als andere delen van het oude graafschap Taxandrië meer en meer onder de invloed van de graven van Leuven, de latere Brabantse hert</w:t>
      </w:r>
      <w:r>
        <w:rPr>
          <w:sz w:val="19"/>
        </w:rPr>
        <w:t>o</w:t>
      </w:r>
      <w:r>
        <w:rPr>
          <w:sz w:val="19"/>
        </w:rPr>
        <w:t>gen.</w:t>
      </w:r>
    </w:p>
    <w:p w14:paraId="45A7818F" w14:textId="77777777" w:rsidR="00000000" w:rsidRDefault="00000000">
      <w:pPr>
        <w:framePr w:hSpace="141" w:wrap="around" w:vAnchor="text" w:hAnchor="page" w:x="1435" w:y="1652"/>
      </w:pPr>
      <w:r>
        <w:object w:dxaOrig="5899" w:dyaOrig="7037" w14:anchorId="6843E0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4.75pt;height:351.75pt" o:ole="">
            <v:imagedata r:id="rId7" o:title=""/>
          </v:shape>
          <o:OLEObject Type="Embed" ProgID="CorelPhotoPaint.Image.6" ShapeID="_x0000_i1025" DrawAspect="Content" ObjectID="_1854356408" r:id="rId8">
            <o:FieldCodes>\s</o:FieldCodes>
          </o:OLEObject>
        </w:object>
      </w:r>
    </w:p>
    <w:p w14:paraId="46221B33" w14:textId="77777777" w:rsidR="00000000" w:rsidRDefault="00000000">
      <w:pPr>
        <w:framePr w:w="880" w:h="295" w:hSpace="141" w:wrap="around" w:vAnchor="text" w:hAnchor="page" w:x="1723" w:y="1652"/>
      </w:pPr>
      <w:r>
        <w:rPr>
          <w:b/>
          <w:spacing w:val="-3"/>
          <w:sz w:val="16"/>
        </w:rPr>
        <w:t>Middelrode</w:t>
      </w:r>
    </w:p>
    <w:p w14:paraId="257A3B9C" w14:textId="77777777" w:rsidR="00000000" w:rsidRDefault="00000000">
      <w:pPr>
        <w:framePr w:w="199" w:h="295" w:hSpace="141" w:wrap="around" w:vAnchor="text" w:hAnchor="page" w:x="6331" w:y="5252"/>
      </w:pPr>
      <w:r>
        <w:sym w:font="Wingdings 2" w:char="F098"/>
      </w:r>
    </w:p>
    <w:p w14:paraId="5D4D9F78" w14:textId="77777777" w:rsidR="00000000" w:rsidRDefault="00000000">
      <w:pPr>
        <w:framePr w:w="199" w:h="295" w:hSpace="141" w:wrap="around" w:vAnchor="text" w:hAnchor="page" w:x="5035" w:y="5117"/>
      </w:pPr>
      <w:r>
        <w:sym w:font="Wingdings 2" w:char="F098"/>
      </w:r>
    </w:p>
    <w:p w14:paraId="05EBA998" w14:textId="77777777" w:rsidR="00000000" w:rsidRDefault="00000000">
      <w:pPr>
        <w:framePr w:w="199" w:h="295" w:hSpace="141" w:wrap="around" w:vAnchor="text" w:hAnchor="page" w:x="3451" w:y="4682"/>
      </w:pPr>
      <w:r>
        <w:sym w:font="Wingdings 2" w:char="F098"/>
      </w:r>
    </w:p>
    <w:p w14:paraId="3CD5EE62" w14:textId="77777777" w:rsidR="00000000" w:rsidRDefault="00000000">
      <w:pPr>
        <w:framePr w:w="199" w:h="295" w:hSpace="141" w:wrap="around" w:vAnchor="text" w:hAnchor="page" w:x="3739" w:y="4097"/>
      </w:pPr>
      <w:r>
        <w:sym w:font="Wingdings 2" w:char="F098"/>
      </w:r>
    </w:p>
    <w:p w14:paraId="7626E7FC" w14:textId="77777777" w:rsidR="00000000" w:rsidRDefault="00000000">
      <w:pPr>
        <w:framePr w:w="199" w:h="295" w:hSpace="141" w:wrap="around" w:vAnchor="text" w:hAnchor="page" w:x="3451" w:y="3812"/>
      </w:pPr>
      <w:r>
        <w:sym w:font="Wingdings 2" w:char="F098"/>
      </w:r>
    </w:p>
    <w:p w14:paraId="4D9EAC33" w14:textId="77777777" w:rsidR="00000000" w:rsidRDefault="00000000">
      <w:pPr>
        <w:framePr w:w="199" w:h="295" w:hSpace="141" w:wrap="around" w:vAnchor="text" w:hAnchor="page" w:x="4315" w:y="4247"/>
      </w:pPr>
      <w:r>
        <w:sym w:font="Wingdings 2" w:char="F098"/>
      </w:r>
    </w:p>
    <w:p w14:paraId="5B4111E4" w14:textId="77777777" w:rsidR="00000000" w:rsidRDefault="00000000">
      <w:pPr>
        <w:framePr w:w="199" w:h="295" w:hSpace="141" w:wrap="around" w:vAnchor="text" w:hAnchor="page" w:x="4891" w:y="3812"/>
      </w:pPr>
      <w:r>
        <w:sym w:font="Wingdings 2" w:char="F098"/>
      </w:r>
    </w:p>
    <w:p w14:paraId="6A585136" w14:textId="77777777" w:rsidR="00000000" w:rsidRDefault="00000000">
      <w:pPr>
        <w:framePr w:w="199" w:h="295" w:hSpace="141" w:wrap="around" w:vAnchor="text" w:hAnchor="page" w:x="5899" w:y="3677"/>
      </w:pPr>
      <w:r>
        <w:sym w:font="Wingdings 2" w:char="F098"/>
      </w:r>
    </w:p>
    <w:p w14:paraId="59306858" w14:textId="77777777" w:rsidR="00000000" w:rsidRDefault="00000000">
      <w:pPr>
        <w:framePr w:w="199" w:h="295" w:hSpace="141" w:wrap="around" w:vAnchor="text" w:hAnchor="page" w:x="4027" w:y="3377"/>
      </w:pPr>
      <w:r>
        <w:sym w:font="Wingdings 2" w:char="F098"/>
      </w:r>
    </w:p>
    <w:p w14:paraId="311FEF1B" w14:textId="77777777" w:rsidR="00000000" w:rsidRDefault="00000000">
      <w:pPr>
        <w:framePr w:w="199" w:h="295" w:hSpace="141" w:wrap="around" w:vAnchor="text" w:hAnchor="page" w:x="4747" w:y="3242"/>
      </w:pPr>
      <w:r>
        <w:sym w:font="Wingdings 2" w:char="F098"/>
      </w:r>
    </w:p>
    <w:p w14:paraId="3124B14E" w14:textId="77777777" w:rsidR="00000000" w:rsidRDefault="00000000">
      <w:pPr>
        <w:framePr w:w="199" w:h="295" w:hSpace="141" w:wrap="around" w:vAnchor="text" w:hAnchor="page" w:x="2875" w:y="2807"/>
      </w:pPr>
      <w:r>
        <w:sym w:font="Wingdings 2" w:char="F098"/>
      </w:r>
    </w:p>
    <w:p w14:paraId="67B2D6A6" w14:textId="77777777" w:rsidR="00000000" w:rsidRDefault="00000000">
      <w:pPr>
        <w:framePr w:w="199" w:h="295" w:hSpace="141" w:wrap="around" w:vAnchor="text" w:hAnchor="page" w:x="2155" w:y="3242"/>
      </w:pPr>
      <w:r>
        <w:sym w:font="Wingdings 2" w:char="F098"/>
      </w:r>
    </w:p>
    <w:p w14:paraId="52E18BED" w14:textId="77777777" w:rsidR="00000000" w:rsidRDefault="00000000">
      <w:pPr>
        <w:framePr w:w="199" w:h="295" w:hSpace="141" w:wrap="around" w:vAnchor="text" w:hAnchor="page" w:x="4459" w:y="2522"/>
      </w:pPr>
      <w:r>
        <w:sym w:font="Wingdings 2" w:char="F098"/>
      </w:r>
    </w:p>
    <w:p w14:paraId="31C1D2F9" w14:textId="77777777" w:rsidR="00000000" w:rsidRDefault="00000000">
      <w:pPr>
        <w:framePr w:w="199" w:h="295" w:hSpace="141" w:wrap="around" w:vAnchor="text" w:hAnchor="page" w:x="3595" w:y="2372"/>
      </w:pPr>
      <w:r>
        <w:sym w:font="Wingdings 2" w:char="F098"/>
      </w:r>
    </w:p>
    <w:p w14:paraId="73C7660F" w14:textId="77777777" w:rsidR="00000000" w:rsidRDefault="00000000">
      <w:pPr>
        <w:framePr w:w="199" w:h="295" w:hSpace="141" w:wrap="around" w:vAnchor="text" w:hAnchor="page" w:x="2731" w:y="2237"/>
      </w:pPr>
      <w:r>
        <w:sym w:font="Wingdings 2" w:char="F098"/>
      </w:r>
    </w:p>
    <w:p w14:paraId="43A331DA" w14:textId="77777777" w:rsidR="00000000" w:rsidRDefault="00000000">
      <w:pPr>
        <w:tabs>
          <w:tab w:val="left" w:pos="-1440"/>
          <w:tab w:val="left" w:pos="-720"/>
          <w:tab w:val="left" w:pos="6096"/>
        </w:tabs>
        <w:rPr>
          <w:spacing w:val="-3"/>
          <w:sz w:val="19"/>
        </w:rPr>
      </w:pPr>
      <w:r>
        <w:rPr>
          <w:spacing w:val="-3"/>
          <w:sz w:val="19"/>
        </w:rPr>
        <w:t>In enkele oorkonden uit de 13</w:t>
      </w:r>
      <w:r>
        <w:rPr>
          <w:spacing w:val="-3"/>
          <w:sz w:val="16"/>
          <w:vertAlign w:val="superscript"/>
        </w:rPr>
        <w:t>de</w:t>
      </w:r>
      <w:r>
        <w:rPr>
          <w:spacing w:val="-3"/>
          <w:sz w:val="19"/>
        </w:rPr>
        <w:t xml:space="preserve"> en 14</w:t>
      </w:r>
      <w:r>
        <w:rPr>
          <w:spacing w:val="-3"/>
          <w:sz w:val="16"/>
          <w:vertAlign w:val="superscript"/>
        </w:rPr>
        <w:t>de</w:t>
      </w:r>
      <w:r>
        <w:rPr>
          <w:spacing w:val="-3"/>
          <w:sz w:val="19"/>
        </w:rPr>
        <w:t xml:space="preserve"> eeuw wordt gesproken van een graafschap, een ‘comitatus’, van Rode. In latere tijd was Sint-Oedenrode de hoofdplaats van het kwartier van Peelland en tot ver in de 18</w:t>
      </w:r>
      <w:r>
        <w:rPr>
          <w:spacing w:val="-3"/>
          <w:sz w:val="16"/>
          <w:vertAlign w:val="superscript"/>
        </w:rPr>
        <w:t>de</w:t>
      </w:r>
      <w:r>
        <w:rPr>
          <w:spacing w:val="-3"/>
          <w:sz w:val="19"/>
        </w:rPr>
        <w:t xml:space="preserve"> eeuw had het een leenbank over een aantal plaatsen in de latere cijnskring. Dit zijn twee aanwijzingen die erop kunnen wijzen dat Sint-Oedenrode eens zeggenschap heeft gehad over een veel groter gebied, wat dan mogelijk het graafschap was. In ieder geval zijn er vage aanwijzingen dat Sint-Oedenrode en omgeving een band met het bisdom Utrecht hebben gehad, mogelijk als leen. Rond 1200 echter speelden met name de graven van Gelre een bepalende rol; het graafschap Rode blijkt in hun bezit te zijn. Tussen 1207 en 1229 werd, na een reeks van botsingen, tussen graaf Ge</w:t>
      </w:r>
      <w:r>
        <w:rPr>
          <w:spacing w:val="-3"/>
          <w:sz w:val="19"/>
        </w:rPr>
        <w:softHyphen/>
        <w:t>rard IV van Gelre en her</w:t>
      </w:r>
      <w:r>
        <w:rPr>
          <w:spacing w:val="-3"/>
          <w:sz w:val="19"/>
        </w:rPr>
        <w:softHyphen/>
        <w:t>tog Hendrik I van Brabant af</w:t>
      </w:r>
      <w:r>
        <w:rPr>
          <w:spacing w:val="-3"/>
          <w:sz w:val="19"/>
        </w:rPr>
        <w:softHyphen/>
        <w:t>gesproken dat te zijner tijd het graa</w:t>
      </w:r>
      <w:r>
        <w:rPr>
          <w:spacing w:val="-3"/>
          <w:sz w:val="19"/>
        </w:rPr>
        <w:t>f</w:t>
      </w:r>
      <w:r>
        <w:rPr>
          <w:spacing w:val="-3"/>
          <w:sz w:val="19"/>
        </w:rPr>
        <w:t>schap Sint-Oeden</w:t>
      </w:r>
      <w:r>
        <w:rPr>
          <w:spacing w:val="-3"/>
          <w:sz w:val="19"/>
        </w:rPr>
        <w:softHyphen/>
        <w:t>ro</w:t>
      </w:r>
      <w:r>
        <w:rPr>
          <w:spacing w:val="-3"/>
          <w:sz w:val="19"/>
        </w:rPr>
        <w:softHyphen/>
        <w:t>de tegen betaling van een grote som geld (2000 mark) overgedragen zou wor</w:t>
      </w:r>
      <w:r>
        <w:rPr>
          <w:spacing w:val="-3"/>
          <w:sz w:val="19"/>
        </w:rPr>
        <w:softHyphen/>
        <w:t>den aan de hertog van Bra</w:t>
      </w:r>
      <w:r>
        <w:rPr>
          <w:spacing w:val="-3"/>
          <w:sz w:val="19"/>
        </w:rPr>
        <w:softHyphen/>
        <w:t>bant. In november 1231 vond die overdracht van het graa</w:t>
      </w:r>
      <w:r>
        <w:rPr>
          <w:spacing w:val="-3"/>
          <w:sz w:val="19"/>
        </w:rPr>
        <w:t>f</w:t>
      </w:r>
      <w:r>
        <w:rPr>
          <w:spacing w:val="-3"/>
          <w:sz w:val="19"/>
        </w:rPr>
        <w:t>schap uiteindelijk plaats. In 1232 wordt vervolgens door de Brabantse hertog de b</w:t>
      </w:r>
      <w:r>
        <w:rPr>
          <w:spacing w:val="-3"/>
          <w:sz w:val="19"/>
        </w:rPr>
        <w:t>e</w:t>
      </w:r>
      <w:r>
        <w:rPr>
          <w:spacing w:val="-3"/>
          <w:sz w:val="19"/>
        </w:rPr>
        <w:t>stuurlijke situatie in Sint-Oe</w:t>
      </w:r>
      <w:r>
        <w:rPr>
          <w:spacing w:val="-3"/>
          <w:sz w:val="19"/>
        </w:rPr>
        <w:softHyphen/>
        <w:t>denrode g</w:t>
      </w:r>
      <w:r>
        <w:rPr>
          <w:spacing w:val="-3"/>
          <w:sz w:val="19"/>
        </w:rPr>
        <w:t>e</w:t>
      </w:r>
      <w:r>
        <w:rPr>
          <w:spacing w:val="-3"/>
          <w:sz w:val="19"/>
        </w:rPr>
        <w:t>regeld door de in</w:t>
      </w:r>
      <w:r>
        <w:rPr>
          <w:spacing w:val="-3"/>
          <w:sz w:val="19"/>
        </w:rPr>
        <w:softHyphen/>
        <w:t>woners van die plaats dezelf</w:t>
      </w:r>
      <w:r>
        <w:rPr>
          <w:spacing w:val="-3"/>
          <w:sz w:val="19"/>
        </w:rPr>
        <w:softHyphen/>
        <w:t>de vrijheidsrechten te verl</w:t>
      </w:r>
      <w:r>
        <w:rPr>
          <w:spacing w:val="-3"/>
          <w:sz w:val="19"/>
        </w:rPr>
        <w:t>e</w:t>
      </w:r>
      <w:r>
        <w:rPr>
          <w:spacing w:val="-3"/>
          <w:sz w:val="19"/>
        </w:rPr>
        <w:t>nen als de burgers van ‘s-Her</w:t>
      </w:r>
      <w:r>
        <w:rPr>
          <w:spacing w:val="-3"/>
          <w:sz w:val="19"/>
        </w:rPr>
        <w:softHyphen/>
        <w:t>togenbosch. Het was de hertog die in het ve</w:t>
      </w:r>
      <w:r>
        <w:rPr>
          <w:spacing w:val="-3"/>
          <w:sz w:val="19"/>
        </w:rPr>
        <w:t>r</w:t>
      </w:r>
      <w:r>
        <w:rPr>
          <w:spacing w:val="-3"/>
          <w:sz w:val="19"/>
        </w:rPr>
        <w:t>volg be</w:t>
      </w:r>
      <w:r>
        <w:rPr>
          <w:spacing w:val="-3"/>
          <w:sz w:val="19"/>
        </w:rPr>
        <w:softHyphen/>
        <w:t>lastingen hief en de zegge</w:t>
      </w:r>
      <w:r>
        <w:rPr>
          <w:spacing w:val="-3"/>
          <w:sz w:val="19"/>
        </w:rPr>
        <w:t>n</w:t>
      </w:r>
      <w:r>
        <w:rPr>
          <w:spacing w:val="-3"/>
          <w:sz w:val="19"/>
        </w:rPr>
        <w:t>schap stevig in handen nam. Er zijn sterke aanwijzingen dat locale rechtsgebruiken wer</w:t>
      </w:r>
      <w:r>
        <w:rPr>
          <w:spacing w:val="-3"/>
          <w:sz w:val="19"/>
        </w:rPr>
        <w:softHyphen/>
        <w:t>den gerespecteerd, g</w:t>
      </w:r>
      <w:r>
        <w:rPr>
          <w:spacing w:val="-3"/>
          <w:sz w:val="19"/>
        </w:rPr>
        <w:t>e</w:t>
      </w:r>
      <w:r>
        <w:rPr>
          <w:spacing w:val="-3"/>
          <w:sz w:val="19"/>
        </w:rPr>
        <w:t>deel</w:t>
      </w:r>
      <w:r>
        <w:rPr>
          <w:spacing w:val="-3"/>
          <w:sz w:val="19"/>
        </w:rPr>
        <w:softHyphen/>
        <w:t>telijk intact werden g</w:t>
      </w:r>
      <w:r>
        <w:rPr>
          <w:spacing w:val="-3"/>
          <w:sz w:val="19"/>
        </w:rPr>
        <w:t>e</w:t>
      </w:r>
      <w:r>
        <w:rPr>
          <w:spacing w:val="-3"/>
          <w:sz w:val="19"/>
        </w:rPr>
        <w:t>laten en aangepast aan nie</w:t>
      </w:r>
      <w:r>
        <w:rPr>
          <w:spacing w:val="-3"/>
          <w:sz w:val="19"/>
        </w:rPr>
        <w:t>u</w:t>
      </w:r>
      <w:r>
        <w:rPr>
          <w:spacing w:val="-3"/>
          <w:sz w:val="19"/>
        </w:rPr>
        <w:t>we  ver</w:t>
      </w:r>
      <w:r>
        <w:rPr>
          <w:spacing w:val="-3"/>
          <w:sz w:val="19"/>
        </w:rPr>
        <w:softHyphen/>
        <w:t>hou</w:t>
      </w:r>
      <w:r>
        <w:rPr>
          <w:spacing w:val="-3"/>
          <w:sz w:val="19"/>
        </w:rPr>
        <w:softHyphen/>
        <w:t>dingen.</w:t>
      </w:r>
    </w:p>
    <w:p w14:paraId="66BC6151" w14:textId="77777777" w:rsidR="00000000" w:rsidRDefault="00000000">
      <w:pPr>
        <w:framePr w:w="5353" w:h="289" w:hSpace="141" w:wrap="around" w:vAnchor="text" w:hAnchor="page" w:x="2011" w:y="644"/>
        <w:rPr>
          <w:i/>
          <w:sz w:val="16"/>
        </w:rPr>
      </w:pPr>
      <w:r>
        <w:rPr>
          <w:i/>
          <w:sz w:val="16"/>
        </w:rPr>
        <w:t xml:space="preserve">Het Kwartier van Peelland. De met een stip gemarkeerde plaatsen waren </w:t>
      </w:r>
    </w:p>
    <w:p w14:paraId="63EE5A8F" w14:textId="77777777" w:rsidR="00000000" w:rsidRDefault="00000000">
      <w:pPr>
        <w:framePr w:w="5353" w:h="289" w:hSpace="141" w:wrap="around" w:vAnchor="text" w:hAnchor="page" w:x="2011" w:y="644"/>
      </w:pPr>
      <w:r>
        <w:rPr>
          <w:i/>
          <w:sz w:val="16"/>
        </w:rPr>
        <w:t>onderworpen aan het Rooise recht.</w:t>
      </w:r>
    </w:p>
    <w:p w14:paraId="4A14FCA3" w14:textId="77777777" w:rsidR="00000000" w:rsidRDefault="00000000">
      <w:pPr>
        <w:tabs>
          <w:tab w:val="left" w:pos="-1440"/>
          <w:tab w:val="left" w:pos="-720"/>
          <w:tab w:val="left" w:pos="6096"/>
        </w:tabs>
        <w:rPr>
          <w:spacing w:val="-3"/>
          <w:sz w:val="19"/>
        </w:rPr>
      </w:pPr>
      <w:r>
        <w:rPr>
          <w:spacing w:val="-3"/>
          <w:sz w:val="19"/>
        </w:rPr>
        <w:t>De exacte omvang van het graafschap Rode is niet vast te stellen. Toch zijn er twee mogelijkheden om bij ben</w:t>
      </w:r>
      <w:r>
        <w:rPr>
          <w:spacing w:val="-3"/>
          <w:sz w:val="19"/>
        </w:rPr>
        <w:t>a</w:t>
      </w:r>
      <w:r>
        <w:rPr>
          <w:spacing w:val="-3"/>
          <w:sz w:val="19"/>
        </w:rPr>
        <w:t>dering aan te geven wel</w:t>
      </w:r>
      <w:r>
        <w:rPr>
          <w:spacing w:val="-3"/>
          <w:sz w:val="19"/>
        </w:rPr>
        <w:softHyphen/>
        <w:t>ke Peellandse dorpen in oor</w:t>
      </w:r>
      <w:r>
        <w:rPr>
          <w:spacing w:val="-3"/>
          <w:sz w:val="19"/>
        </w:rPr>
        <w:softHyphen/>
        <w:t>sprong waarschijn</w:t>
      </w:r>
      <w:r>
        <w:rPr>
          <w:spacing w:val="-3"/>
          <w:sz w:val="19"/>
        </w:rPr>
        <w:softHyphen/>
        <w:t>lijk tot dit graafschap hebben behoord. De eerste mogelijkheid is de bepaling van die dor</w:t>
      </w:r>
      <w:r>
        <w:rPr>
          <w:spacing w:val="-3"/>
          <w:sz w:val="19"/>
        </w:rPr>
        <w:softHyphen/>
        <w:t>pen waar</w:t>
      </w:r>
      <w:r>
        <w:rPr>
          <w:spacing w:val="-3"/>
          <w:sz w:val="19"/>
        </w:rPr>
        <w:softHyphen/>
        <w:t>in het zgn. Rooi</w:t>
      </w:r>
      <w:r>
        <w:rPr>
          <w:spacing w:val="-3"/>
          <w:sz w:val="19"/>
        </w:rPr>
        <w:softHyphen/>
      </w:r>
      <w:r>
        <w:rPr>
          <w:spacing w:val="-3"/>
          <w:sz w:val="19"/>
        </w:rPr>
        <w:softHyphen/>
        <w:t>se recht gold en de be</w:t>
      </w:r>
      <w:r>
        <w:rPr>
          <w:spacing w:val="-3"/>
          <w:sz w:val="19"/>
        </w:rPr>
        <w:softHyphen/>
        <w:t>na</w:t>
      </w:r>
      <w:r>
        <w:rPr>
          <w:spacing w:val="-3"/>
          <w:sz w:val="19"/>
        </w:rPr>
        <w:softHyphen/>
        <w:t>de</w:t>
      </w:r>
      <w:r>
        <w:rPr>
          <w:spacing w:val="-3"/>
          <w:sz w:val="19"/>
        </w:rPr>
        <w:softHyphen/>
        <w:t>ring van de tijd waarin dit recht is ont</w:t>
      </w:r>
      <w:r>
        <w:rPr>
          <w:spacing w:val="-3"/>
          <w:sz w:val="19"/>
        </w:rPr>
        <w:softHyphen/>
      </w:r>
      <w:r>
        <w:rPr>
          <w:spacing w:val="-3"/>
          <w:sz w:val="19"/>
        </w:rPr>
        <w:lastRenderedPageBreak/>
        <w:t>staan. Het Rooi</w:t>
      </w:r>
      <w:r>
        <w:rPr>
          <w:spacing w:val="-3"/>
          <w:sz w:val="19"/>
        </w:rPr>
        <w:softHyphen/>
      </w:r>
      <w:r>
        <w:rPr>
          <w:spacing w:val="-3"/>
          <w:sz w:val="19"/>
        </w:rPr>
        <w:softHyphen/>
        <w:t>se recht b</w:t>
      </w:r>
      <w:r>
        <w:rPr>
          <w:spacing w:val="-3"/>
          <w:sz w:val="19"/>
        </w:rPr>
        <w:t>e</w:t>
      </w:r>
      <w:r>
        <w:rPr>
          <w:spacing w:val="-3"/>
          <w:sz w:val="19"/>
        </w:rPr>
        <w:t>stond uit een aan</w:t>
      </w:r>
      <w:r>
        <w:rPr>
          <w:spacing w:val="-3"/>
          <w:sz w:val="19"/>
        </w:rPr>
        <w:softHyphen/>
        <w:t>tal rechtsregels die in Sint-Oe</w:t>
      </w:r>
      <w:r>
        <w:rPr>
          <w:spacing w:val="-3"/>
          <w:sz w:val="19"/>
        </w:rPr>
        <w:softHyphen/>
        <w:t>den</w:t>
      </w:r>
      <w:r>
        <w:rPr>
          <w:spacing w:val="-3"/>
          <w:sz w:val="19"/>
        </w:rPr>
        <w:softHyphen/>
        <w:t>rode en een aantal dorpen in Peel</w:t>
      </w:r>
      <w:r>
        <w:rPr>
          <w:spacing w:val="-3"/>
          <w:sz w:val="19"/>
        </w:rPr>
        <w:softHyphen/>
        <w:t>land van kracht w</w:t>
      </w:r>
      <w:r>
        <w:rPr>
          <w:spacing w:val="-3"/>
          <w:sz w:val="19"/>
        </w:rPr>
        <w:t>a</w:t>
      </w:r>
      <w:r>
        <w:rPr>
          <w:spacing w:val="-3"/>
          <w:sz w:val="19"/>
        </w:rPr>
        <w:t xml:space="preserve">ren. </w:t>
      </w:r>
    </w:p>
    <w:p w14:paraId="222CC724" w14:textId="77777777" w:rsidR="00000000" w:rsidRDefault="00000000">
      <w:pPr>
        <w:tabs>
          <w:tab w:val="left" w:pos="-1440"/>
          <w:tab w:val="left" w:pos="-720"/>
          <w:tab w:val="left" w:pos="6096"/>
        </w:tabs>
        <w:rPr>
          <w:spacing w:val="-3"/>
          <w:sz w:val="19"/>
        </w:rPr>
      </w:pPr>
      <w:r>
        <w:rPr>
          <w:spacing w:val="-3"/>
          <w:sz w:val="19"/>
        </w:rPr>
        <w:t>Het werd pas in 1606 op papier gesteld, maar bestond al lange tijd daarvoor. In het oudst bewaarde leenboek van de hertog van Brabant, het uit 1312 daterende ‘Cas</w:t>
      </w:r>
      <w:r>
        <w:rPr>
          <w:spacing w:val="-3"/>
          <w:sz w:val="19"/>
        </w:rPr>
        <w:softHyphen/>
        <w:t>selboek’, wordt bij een aantal leengoederen gesteld dat daarvoor het Rooise recht van toepassing is: bv. ‘huijs en</w:t>
      </w:r>
      <w:r>
        <w:rPr>
          <w:spacing w:val="-3"/>
          <w:sz w:val="19"/>
        </w:rPr>
        <w:softHyphen/>
        <w:t>de hof met allen synen toe</w:t>
      </w:r>
      <w:r>
        <w:rPr>
          <w:spacing w:val="-3"/>
          <w:sz w:val="19"/>
        </w:rPr>
        <w:softHyphen/>
        <w:t xml:space="preserve">behoerten geleghen in die prochie van Veghele aen de Zittert ten Roedschen rechte...’. Het ontstaan van het Rooise recht </w:t>
      </w:r>
      <w:r>
        <w:rPr>
          <w:i/>
          <w:spacing w:val="-3"/>
          <w:sz w:val="19"/>
        </w:rPr>
        <w:t>na</w:t>
      </w:r>
      <w:r>
        <w:rPr>
          <w:spacing w:val="-3"/>
          <w:sz w:val="19"/>
        </w:rPr>
        <w:t xml:space="preserve"> de verwe</w:t>
      </w:r>
      <w:r>
        <w:rPr>
          <w:spacing w:val="-3"/>
          <w:sz w:val="19"/>
        </w:rPr>
        <w:t>r</w:t>
      </w:r>
      <w:r>
        <w:rPr>
          <w:spacing w:val="-3"/>
          <w:sz w:val="19"/>
        </w:rPr>
        <w:t>ving van de hertog van het graafschap Sint-Oe</w:t>
      </w:r>
      <w:r>
        <w:rPr>
          <w:spacing w:val="-3"/>
          <w:sz w:val="19"/>
        </w:rPr>
        <w:softHyphen/>
        <w:t>den</w:t>
      </w:r>
      <w:r>
        <w:rPr>
          <w:spacing w:val="-3"/>
          <w:sz w:val="19"/>
        </w:rPr>
        <w:softHyphen/>
        <w:t>ro</w:t>
      </w:r>
      <w:r>
        <w:rPr>
          <w:spacing w:val="-3"/>
          <w:sz w:val="19"/>
        </w:rPr>
        <w:softHyphen/>
        <w:t>de lijkt onwaarschijnlijk; de hertogen hanteerden het Br</w:t>
      </w:r>
      <w:r>
        <w:rPr>
          <w:spacing w:val="-3"/>
          <w:sz w:val="19"/>
        </w:rPr>
        <w:t>a</w:t>
      </w:r>
      <w:r>
        <w:rPr>
          <w:spacing w:val="-3"/>
          <w:sz w:val="19"/>
        </w:rPr>
        <w:t>bantse recht en bevorderden dit in het kader van hun ei</w:t>
      </w:r>
      <w:r>
        <w:rPr>
          <w:spacing w:val="-3"/>
          <w:sz w:val="19"/>
        </w:rPr>
        <w:softHyphen/>
        <w:t>gen machts- en stabilisatiepolitiek. Het Rooise recht zullen zij enkel hebben gedoogd als een reeds langer bestaand, oud regionaal recht. Alle leengoederen die voor 1231 bestonden in gebieden waar het Rooise recht van toe</w:t>
      </w:r>
      <w:r>
        <w:rPr>
          <w:spacing w:val="-3"/>
          <w:sz w:val="19"/>
        </w:rPr>
        <w:softHyphen/>
        <w:t>passing was en waarvan de leenhoog</w:t>
      </w:r>
      <w:r>
        <w:rPr>
          <w:spacing w:val="-3"/>
          <w:sz w:val="19"/>
        </w:rPr>
        <w:softHyphen/>
        <w:t>heid overging op de hertog van Brabant, bleven onder de bepalingen van dat recht vallen. Het is aantoonbaar dat leengoed</w:t>
      </w:r>
      <w:r>
        <w:rPr>
          <w:spacing w:val="-3"/>
          <w:sz w:val="19"/>
        </w:rPr>
        <w:t>e</w:t>
      </w:r>
      <w:r>
        <w:rPr>
          <w:spacing w:val="-3"/>
          <w:sz w:val="19"/>
        </w:rPr>
        <w:t>ren in datzelfde gebied ontstaan na 1231 onder het Brabantse recht vielen. Het Rooise recht dateert derhalve van vóór 1231 en is ontstaan ten tijde van het graafschap Ro</w:t>
      </w:r>
      <w:r>
        <w:rPr>
          <w:spacing w:val="-3"/>
          <w:sz w:val="19"/>
        </w:rPr>
        <w:softHyphen/>
        <w:t>de. De plaatsen waarin het Rooise recht van to</w:t>
      </w:r>
      <w:r>
        <w:rPr>
          <w:spacing w:val="-3"/>
          <w:sz w:val="19"/>
        </w:rPr>
        <w:t>e</w:t>
      </w:r>
      <w:r>
        <w:rPr>
          <w:spacing w:val="-3"/>
          <w:sz w:val="19"/>
        </w:rPr>
        <w:t>passing was, de ‘consorten van Rode’ hebben dus waarschijnlijk deel uitgemaakt van het oude graafschap. In 1606 waren dit de dorpen (in alfabetische volgorde): Aarle-Rixtel, Bakel en Milheeze, Beek en Donk, Deurne (met Liessel), Erp, Liempde, Lierop, Lieshout, Nuenen (met Gerwen en Nederwetten), Schijndel, Son en Breugel, Sint-Oedenrode, Stiphout, Tongelre en Ve</w:t>
      </w:r>
      <w:r>
        <w:rPr>
          <w:spacing w:val="-3"/>
          <w:sz w:val="19"/>
        </w:rPr>
        <w:t>g</w:t>
      </w:r>
      <w:r>
        <w:rPr>
          <w:spacing w:val="-3"/>
          <w:sz w:val="19"/>
        </w:rPr>
        <w:t>hel.</w:t>
      </w:r>
    </w:p>
    <w:p w14:paraId="2AE08652" w14:textId="77777777" w:rsidR="00000000" w:rsidRDefault="00000000">
      <w:pPr>
        <w:framePr w:hSpace="141" w:wrap="around" w:vAnchor="text" w:hAnchor="page" w:x="2299" w:y="2171"/>
      </w:pPr>
      <w:r>
        <w:object w:dxaOrig="5899" w:dyaOrig="7037" w14:anchorId="0F0F6627">
          <v:shape id="_x0000_i1026" type="#_x0000_t75" style="width:294.75pt;height:351.75pt" o:ole="">
            <v:imagedata r:id="rId7" o:title=""/>
          </v:shape>
          <o:OLEObject Type="Embed" ProgID="CorelPhotoPaint.Image.6" ShapeID="_x0000_i1026" DrawAspect="Content" ObjectID="_1854356409" r:id="rId9">
            <o:FieldCodes>\s</o:FieldCodes>
          </o:OLEObject>
        </w:object>
      </w:r>
    </w:p>
    <w:p w14:paraId="028DD441" w14:textId="77777777" w:rsidR="00000000" w:rsidRDefault="00000000">
      <w:pPr>
        <w:framePr w:w="199" w:h="295" w:hSpace="141" w:wrap="around" w:vAnchor="text" w:hAnchor="page" w:x="3739" w:y="2741"/>
      </w:pPr>
      <w:r>
        <w:sym w:font="Wingdings 2" w:char="F098"/>
      </w:r>
    </w:p>
    <w:p w14:paraId="16147AA3" w14:textId="77777777" w:rsidR="00000000" w:rsidRDefault="00000000">
      <w:pPr>
        <w:framePr w:w="199" w:h="295" w:hSpace="141" w:wrap="around" w:vAnchor="text" w:hAnchor="page" w:x="4603" w:y="3041"/>
      </w:pPr>
      <w:r>
        <w:sym w:font="Wingdings 2" w:char="F098"/>
      </w:r>
    </w:p>
    <w:p w14:paraId="2AB17B76" w14:textId="77777777" w:rsidR="00000000" w:rsidRDefault="00000000">
      <w:pPr>
        <w:framePr w:w="199" w:h="295" w:hSpace="141" w:wrap="around" w:vAnchor="text" w:hAnchor="page" w:x="3739" w:y="3326"/>
      </w:pPr>
      <w:r>
        <w:sym w:font="Wingdings 2" w:char="F098"/>
      </w:r>
    </w:p>
    <w:p w14:paraId="75DA29D7" w14:textId="77777777" w:rsidR="00000000" w:rsidRDefault="00000000">
      <w:pPr>
        <w:framePr w:w="199" w:h="295" w:hSpace="141" w:wrap="around" w:vAnchor="text" w:hAnchor="page" w:x="5323" w:y="3041"/>
      </w:pPr>
      <w:r>
        <w:sym w:font="Wingdings 2" w:char="F098"/>
      </w:r>
    </w:p>
    <w:p w14:paraId="4D84245A" w14:textId="77777777" w:rsidR="00000000" w:rsidRDefault="00000000">
      <w:pPr>
        <w:framePr w:w="199" w:h="295" w:hSpace="141" w:wrap="around" w:vAnchor="text" w:hAnchor="page" w:x="3019" w:y="3761"/>
      </w:pPr>
      <w:r>
        <w:sym w:font="Wingdings 2" w:char="F098"/>
      </w:r>
    </w:p>
    <w:p w14:paraId="6173654A" w14:textId="77777777" w:rsidR="00000000" w:rsidRDefault="00000000">
      <w:pPr>
        <w:framePr w:w="199" w:h="295" w:hSpace="141" w:wrap="around" w:vAnchor="text" w:hAnchor="page" w:x="4315" w:y="5201"/>
      </w:pPr>
      <w:r>
        <w:sym w:font="Wingdings 2" w:char="F098"/>
      </w:r>
    </w:p>
    <w:p w14:paraId="2301A47F" w14:textId="77777777" w:rsidR="00000000" w:rsidRDefault="00000000">
      <w:pPr>
        <w:framePr w:w="199" w:h="295" w:hSpace="141" w:wrap="around" w:vAnchor="text" w:hAnchor="page" w:x="4603" w:y="4616"/>
      </w:pPr>
      <w:r>
        <w:sym w:font="Wingdings 2" w:char="F098"/>
      </w:r>
    </w:p>
    <w:p w14:paraId="11106319" w14:textId="77777777" w:rsidR="00000000" w:rsidRDefault="00000000">
      <w:pPr>
        <w:framePr w:w="199" w:h="295" w:hSpace="141" w:wrap="around" w:vAnchor="text" w:hAnchor="page" w:x="7339" w:y="5921"/>
      </w:pPr>
      <w:r>
        <w:sym w:font="Wingdings 2" w:char="F098"/>
      </w:r>
    </w:p>
    <w:p w14:paraId="3CB66A15" w14:textId="77777777" w:rsidR="00000000" w:rsidRDefault="00000000">
      <w:pPr>
        <w:framePr w:w="199" w:h="295" w:hSpace="141" w:wrap="around" w:vAnchor="text" w:hAnchor="page" w:x="5755" w:y="4331"/>
      </w:pPr>
      <w:r>
        <w:sym w:font="Wingdings 2" w:char="F098"/>
      </w:r>
    </w:p>
    <w:p w14:paraId="3D1083B7" w14:textId="77777777" w:rsidR="00000000" w:rsidRDefault="00000000">
      <w:pPr>
        <w:framePr w:w="199" w:h="295" w:hSpace="141" w:wrap="around" w:vAnchor="text" w:hAnchor="page" w:x="4315" w:y="4331"/>
      </w:pPr>
      <w:r>
        <w:sym w:font="Wingdings 2" w:char="F098"/>
      </w:r>
    </w:p>
    <w:p w14:paraId="3D99E663" w14:textId="77777777" w:rsidR="00000000" w:rsidRDefault="00000000">
      <w:pPr>
        <w:framePr w:w="199" w:h="295" w:hSpace="141" w:wrap="around" w:vAnchor="text" w:hAnchor="page" w:x="4891" w:y="3896"/>
      </w:pPr>
      <w:r>
        <w:sym w:font="Wingdings 2" w:char="F098"/>
      </w:r>
    </w:p>
    <w:p w14:paraId="542834D0" w14:textId="77777777" w:rsidR="00000000" w:rsidRDefault="00000000">
      <w:pPr>
        <w:framePr w:w="199" w:h="295" w:hSpace="141" w:wrap="around" w:vAnchor="text" w:hAnchor="page" w:x="5179" w:y="4766"/>
      </w:pPr>
      <w:r>
        <w:sym w:font="Wingdings 2" w:char="F098"/>
      </w:r>
    </w:p>
    <w:p w14:paraId="257EE907" w14:textId="77777777" w:rsidR="00000000" w:rsidRDefault="00000000">
      <w:pPr>
        <w:framePr w:w="199" w:h="295" w:hSpace="141" w:wrap="around" w:vAnchor="text" w:hAnchor="page" w:x="5611" w:y="3761"/>
      </w:pPr>
      <w:r>
        <w:sym w:font="Wingdings 2" w:char="F098"/>
      </w:r>
    </w:p>
    <w:p w14:paraId="10BE86BD" w14:textId="77777777" w:rsidR="00000000" w:rsidRDefault="00000000">
      <w:pPr>
        <w:framePr w:w="199" w:h="295" w:hSpace="141" w:wrap="around" w:vAnchor="text" w:hAnchor="page" w:x="6763" w:y="5771"/>
      </w:pPr>
      <w:r>
        <w:rPr>
          <w:spacing w:val="-3"/>
          <w:sz w:val="19"/>
        </w:rPr>
        <w:sym w:font="Wingdings 2" w:char="F0AF"/>
      </w:r>
    </w:p>
    <w:p w14:paraId="7843C84A" w14:textId="77777777" w:rsidR="00000000" w:rsidRDefault="00000000">
      <w:pPr>
        <w:framePr w:w="199" w:h="295" w:hSpace="141" w:wrap="around" w:vAnchor="text" w:hAnchor="page" w:x="5755" w:y="3761"/>
      </w:pPr>
      <w:r>
        <w:rPr>
          <w:spacing w:val="-3"/>
          <w:sz w:val="19"/>
        </w:rPr>
        <w:sym w:font="Wingdings 2" w:char="F0AF"/>
      </w:r>
    </w:p>
    <w:p w14:paraId="5B67B199" w14:textId="77777777" w:rsidR="00000000" w:rsidRDefault="00000000">
      <w:pPr>
        <w:framePr w:w="199" w:h="295" w:hSpace="141" w:wrap="around" w:vAnchor="text" w:hAnchor="page" w:x="5899" w:y="4901"/>
      </w:pPr>
      <w:r>
        <w:rPr>
          <w:spacing w:val="-3"/>
          <w:sz w:val="19"/>
        </w:rPr>
        <w:sym w:font="Wingdings 2" w:char="F0AF"/>
      </w:r>
    </w:p>
    <w:p w14:paraId="34151805" w14:textId="77777777" w:rsidR="00000000" w:rsidRDefault="00000000">
      <w:pPr>
        <w:framePr w:w="166" w:h="295" w:hSpace="141" w:wrap="around" w:vAnchor="text" w:hAnchor="page" w:x="5323" w:y="4766"/>
      </w:pPr>
      <w:r>
        <w:rPr>
          <w:spacing w:val="-3"/>
          <w:sz w:val="19"/>
        </w:rPr>
        <w:sym w:font="Wingdings 2" w:char="F0AF"/>
      </w:r>
    </w:p>
    <w:p w14:paraId="28473EB3" w14:textId="77777777" w:rsidR="00000000" w:rsidRDefault="00000000">
      <w:pPr>
        <w:framePr w:w="199" w:h="295" w:hSpace="141" w:wrap="around" w:vAnchor="text" w:hAnchor="page" w:x="5899" w:y="4331"/>
      </w:pPr>
      <w:r>
        <w:rPr>
          <w:spacing w:val="-3"/>
          <w:sz w:val="19"/>
        </w:rPr>
        <w:sym w:font="Wingdings 2" w:char="F0AF"/>
      </w:r>
    </w:p>
    <w:p w14:paraId="503D2C6C" w14:textId="77777777" w:rsidR="00000000" w:rsidRDefault="00000000">
      <w:pPr>
        <w:framePr w:w="199" w:h="295" w:hSpace="141" w:wrap="around" w:vAnchor="text" w:hAnchor="page" w:x="4747" w:y="4616"/>
      </w:pPr>
      <w:r>
        <w:rPr>
          <w:spacing w:val="-3"/>
          <w:sz w:val="19"/>
        </w:rPr>
        <w:sym w:font="Wingdings 2" w:char="F0AF"/>
      </w:r>
    </w:p>
    <w:p w14:paraId="55DE0B71" w14:textId="77777777" w:rsidR="00000000" w:rsidRDefault="00000000">
      <w:pPr>
        <w:framePr w:w="199" w:h="295" w:hSpace="141" w:wrap="around" w:vAnchor="text" w:hAnchor="page" w:x="7483" w:y="5921"/>
      </w:pPr>
      <w:r>
        <w:rPr>
          <w:spacing w:val="-3"/>
          <w:sz w:val="19"/>
        </w:rPr>
        <w:sym w:font="Wingdings 2" w:char="F0AF"/>
      </w:r>
    </w:p>
    <w:p w14:paraId="4269D095" w14:textId="77777777" w:rsidR="00000000" w:rsidRDefault="00000000">
      <w:pPr>
        <w:framePr w:w="199" w:h="295" w:hSpace="141" w:wrap="around" w:vAnchor="text" w:hAnchor="page" w:x="4459" w:y="5201"/>
      </w:pPr>
      <w:r>
        <w:rPr>
          <w:spacing w:val="-3"/>
          <w:sz w:val="19"/>
        </w:rPr>
        <w:sym w:font="Wingdings 2" w:char="F0AF"/>
      </w:r>
    </w:p>
    <w:p w14:paraId="7073B87F" w14:textId="77777777" w:rsidR="00000000" w:rsidRDefault="00000000">
      <w:pPr>
        <w:framePr w:w="199" w:h="295" w:hSpace="141" w:wrap="around" w:vAnchor="text" w:hAnchor="page" w:x="3883" w:y="2741"/>
      </w:pPr>
      <w:r>
        <w:rPr>
          <w:spacing w:val="-3"/>
          <w:sz w:val="19"/>
        </w:rPr>
        <w:sym w:font="Wingdings 2" w:char="F0AF"/>
      </w:r>
    </w:p>
    <w:p w14:paraId="2279CE35" w14:textId="77777777" w:rsidR="00000000" w:rsidRDefault="00000000">
      <w:pPr>
        <w:framePr w:w="199" w:h="295" w:hSpace="141" w:wrap="around" w:vAnchor="text" w:hAnchor="page" w:x="3163" w:y="3761"/>
      </w:pPr>
      <w:r>
        <w:rPr>
          <w:spacing w:val="-3"/>
          <w:sz w:val="19"/>
        </w:rPr>
        <w:sym w:font="Wingdings 2" w:char="F0AF"/>
      </w:r>
    </w:p>
    <w:p w14:paraId="35E89AA6" w14:textId="77777777" w:rsidR="00000000" w:rsidRDefault="00000000">
      <w:pPr>
        <w:framePr w:w="199" w:h="295" w:hSpace="141" w:wrap="around" w:vAnchor="text" w:hAnchor="page" w:x="3883" w:y="3326"/>
      </w:pPr>
      <w:r>
        <w:rPr>
          <w:spacing w:val="-3"/>
          <w:sz w:val="19"/>
        </w:rPr>
        <w:sym w:font="Wingdings 2" w:char="F0AF"/>
      </w:r>
    </w:p>
    <w:p w14:paraId="3781B283" w14:textId="77777777" w:rsidR="00000000" w:rsidRDefault="00000000">
      <w:pPr>
        <w:framePr w:w="1165" w:h="295" w:hSpace="141" w:wrap="around" w:vAnchor="text" w:hAnchor="page" w:x="2299" w:y="2171"/>
      </w:pPr>
      <w:r>
        <w:rPr>
          <w:b/>
          <w:spacing w:val="-3"/>
          <w:sz w:val="16"/>
        </w:rPr>
        <w:t>Middelrode</w:t>
      </w:r>
      <w:r>
        <w:rPr>
          <w:spacing w:val="-3"/>
          <w:sz w:val="19"/>
        </w:rPr>
        <w:sym w:font="Wingdings 2" w:char="F0AF"/>
      </w:r>
    </w:p>
    <w:p w14:paraId="05AA2E20" w14:textId="77777777" w:rsidR="00000000" w:rsidRDefault="00000000">
      <w:pPr>
        <w:framePr w:w="199" w:h="295" w:hSpace="141" w:wrap="around" w:vAnchor="text" w:hAnchor="page" w:x="4747" w:y="3041"/>
      </w:pPr>
      <w:r>
        <w:rPr>
          <w:spacing w:val="-3"/>
          <w:sz w:val="19"/>
        </w:rPr>
        <w:sym w:font="Wingdings 2" w:char="F0AF"/>
      </w:r>
    </w:p>
    <w:p w14:paraId="6CB82FA1" w14:textId="77777777" w:rsidR="00000000" w:rsidRDefault="00000000">
      <w:pPr>
        <w:framePr w:w="199" w:h="295" w:hSpace="141" w:wrap="around" w:vAnchor="text" w:hAnchor="page" w:x="5467" w:y="3041"/>
      </w:pPr>
      <w:r>
        <w:rPr>
          <w:spacing w:val="-3"/>
          <w:sz w:val="19"/>
        </w:rPr>
        <w:sym w:font="Wingdings 2" w:char="F0AF"/>
      </w:r>
    </w:p>
    <w:p w14:paraId="7108218E" w14:textId="77777777" w:rsidR="00000000" w:rsidRDefault="00000000">
      <w:pPr>
        <w:framePr w:w="199" w:h="295" w:hSpace="141" w:wrap="around" w:vAnchor="text" w:hAnchor="page" w:x="5035" w:y="3896"/>
      </w:pPr>
      <w:r>
        <w:rPr>
          <w:spacing w:val="-3"/>
          <w:sz w:val="19"/>
        </w:rPr>
        <w:sym w:font="Wingdings 2" w:char="F0AF"/>
      </w:r>
    </w:p>
    <w:p w14:paraId="5FFC3E58" w14:textId="77777777" w:rsidR="00000000" w:rsidRDefault="00000000">
      <w:pPr>
        <w:framePr w:w="199" w:h="295" w:hSpace="141" w:wrap="around" w:vAnchor="text" w:hAnchor="page" w:x="4459" w:y="4331"/>
      </w:pPr>
      <w:r>
        <w:rPr>
          <w:spacing w:val="-3"/>
          <w:sz w:val="19"/>
        </w:rPr>
        <w:sym w:font="Wingdings 2" w:char="F0AF"/>
      </w:r>
    </w:p>
    <w:p w14:paraId="6AF09640" w14:textId="77777777" w:rsidR="00000000" w:rsidRDefault="00000000">
      <w:pPr>
        <w:framePr w:w="199" w:h="295" w:hSpace="141" w:wrap="around" w:vAnchor="text" w:hAnchor="page" w:x="5755" w:y="5621"/>
      </w:pPr>
      <w:r>
        <w:sym w:font="Wingdings 2" w:char="F098"/>
      </w:r>
    </w:p>
    <w:p w14:paraId="2AC0FEC0" w14:textId="77777777" w:rsidR="00000000" w:rsidRDefault="00000000">
      <w:pPr>
        <w:framePr w:w="199" w:h="295" w:hSpace="141" w:wrap="around" w:vAnchor="text" w:hAnchor="page" w:x="5899" w:y="5621"/>
      </w:pPr>
      <w:r>
        <w:rPr>
          <w:spacing w:val="-3"/>
          <w:sz w:val="19"/>
        </w:rPr>
        <w:sym w:font="Wingdings 2" w:char="F0AF"/>
      </w:r>
    </w:p>
    <w:p w14:paraId="48F9DBFF" w14:textId="77777777" w:rsidR="00000000" w:rsidRDefault="00000000">
      <w:pPr>
        <w:framePr w:w="199" w:h="94" w:hSpace="141" w:wrap="around" w:vAnchor="text" w:hAnchor="page" w:x="6907" w:y="4181"/>
      </w:pPr>
      <w:r>
        <w:rPr>
          <w:spacing w:val="-3"/>
          <w:sz w:val="19"/>
        </w:rPr>
        <w:sym w:font="Wingdings 2" w:char="F0AF"/>
      </w:r>
    </w:p>
    <w:p w14:paraId="3479B415" w14:textId="77777777" w:rsidR="00000000" w:rsidRDefault="00000000">
      <w:pPr>
        <w:framePr w:w="199" w:h="295" w:hSpace="141" w:wrap="around" w:vAnchor="text" w:hAnchor="page" w:x="6763" w:y="4181"/>
      </w:pPr>
      <w:r>
        <w:sym w:font="Wingdings 2" w:char="F098"/>
      </w:r>
    </w:p>
    <w:p w14:paraId="3BFE596E" w14:textId="77777777" w:rsidR="00000000" w:rsidRDefault="00000000">
      <w:pPr>
        <w:framePr w:w="5926" w:h="433" w:hSpace="141" w:wrap="around" w:vAnchor="text" w:hAnchor="page" w:x="2299" w:y="9371"/>
        <w:rPr>
          <w:i/>
          <w:sz w:val="16"/>
        </w:rPr>
      </w:pPr>
      <w:r>
        <w:rPr>
          <w:i/>
          <w:sz w:val="16"/>
        </w:rPr>
        <w:t>Het Kwartier van Peelland. De met stippen gemarkeerde plaatsen hebben het Rooise recht, de met ruiten gemarkeerde plaatsen behoren tot de cijnskring Helmond.</w:t>
      </w:r>
    </w:p>
    <w:p w14:paraId="27B99599" w14:textId="77777777" w:rsidR="00000000" w:rsidRDefault="00000000">
      <w:pPr>
        <w:framePr w:w="199" w:h="295" w:hSpace="141" w:wrap="around" w:vAnchor="text" w:hAnchor="page" w:x="6043" w:y="6776"/>
      </w:pPr>
      <w:r>
        <w:rPr>
          <w:spacing w:val="-3"/>
          <w:sz w:val="19"/>
        </w:rPr>
        <w:sym w:font="Wingdings 2" w:char="F0AF"/>
      </w:r>
    </w:p>
    <w:p w14:paraId="15ACD0BF" w14:textId="77777777" w:rsidR="00000000" w:rsidRDefault="00000000">
      <w:pPr>
        <w:tabs>
          <w:tab w:val="left" w:pos="-1440"/>
          <w:tab w:val="left" w:pos="-720"/>
        </w:tabs>
        <w:rPr>
          <w:spacing w:val="-3"/>
          <w:sz w:val="19"/>
        </w:rPr>
      </w:pPr>
      <w:r>
        <w:rPr>
          <w:spacing w:val="-3"/>
          <w:sz w:val="19"/>
        </w:rPr>
        <w:t>Een tweede mogelijkheid die bij een benadering van de omvang van het graafschap Rode kan worden gebruikt is het cijnsrecht in een aantal dorpen van Peelland. In 1314 gaf de hertog van Brabant de grond- en gewincij</w:t>
      </w:r>
      <w:r>
        <w:rPr>
          <w:spacing w:val="-3"/>
          <w:sz w:val="19"/>
        </w:rPr>
        <w:t>n</w:t>
      </w:r>
      <w:r>
        <w:rPr>
          <w:spacing w:val="-3"/>
          <w:sz w:val="19"/>
        </w:rPr>
        <w:t>zen in een aantal dorpen in Peelland over aan Jan Berthout van Berlaer, die deze cijnzen kreeg samen met de heer</w:t>
      </w:r>
      <w:r>
        <w:rPr>
          <w:spacing w:val="-3"/>
          <w:sz w:val="19"/>
        </w:rPr>
        <w:softHyphen/>
        <w:t>lijkheid Helmond. De hertog opende voor de gronduitgiften na 1314 een nieuwe cijnsadministratie. De cijnzen van de nieuwe heer van Helmond betroffen dus enkel die (hertogelijke) cijnzen over gronduitgiften van vóór 1314. De totaalopbrengst van deze cijnzen bedroeg elk jaar ongeveer 108 oude en 116 nieuwe po</w:t>
      </w:r>
      <w:r>
        <w:rPr>
          <w:spacing w:val="-3"/>
          <w:sz w:val="19"/>
        </w:rPr>
        <w:t>n</w:t>
      </w:r>
      <w:r>
        <w:rPr>
          <w:spacing w:val="-3"/>
          <w:sz w:val="19"/>
        </w:rPr>
        <w:t>den. Een cijns is een soort belasting, een jaarlijkse uitkering uit m.n. onroerende goederen. De cijns werd g</w:t>
      </w:r>
      <w:r>
        <w:rPr>
          <w:spacing w:val="-3"/>
          <w:sz w:val="19"/>
        </w:rPr>
        <w:t>e</w:t>
      </w:r>
      <w:r>
        <w:rPr>
          <w:spacing w:val="-3"/>
          <w:sz w:val="19"/>
        </w:rPr>
        <w:t>heven in geld, maar kon ook gedeeltelijk in natura worden voldaan. De grondcijnzen rustten op de grond en gin</w:t>
      </w:r>
      <w:r>
        <w:rPr>
          <w:spacing w:val="-3"/>
          <w:sz w:val="19"/>
        </w:rPr>
        <w:softHyphen/>
        <w:t>gen met de grond over van de ene eigenaar naar de andere; de hoogte van de te betalen cijns was onvera</w:t>
      </w:r>
      <w:r>
        <w:rPr>
          <w:spacing w:val="-3"/>
          <w:sz w:val="19"/>
        </w:rPr>
        <w:t>n</w:t>
      </w:r>
      <w:r>
        <w:rPr>
          <w:spacing w:val="-3"/>
          <w:sz w:val="19"/>
        </w:rPr>
        <w:t>derbaar. Bij verandering van eigenaar moest er bovendien een gewincijns aan de cijn</w:t>
      </w:r>
      <w:r>
        <w:rPr>
          <w:spacing w:val="-3"/>
          <w:sz w:val="19"/>
        </w:rPr>
        <w:t>s</w:t>
      </w:r>
      <w:r>
        <w:rPr>
          <w:spacing w:val="-3"/>
          <w:sz w:val="19"/>
        </w:rPr>
        <w:t>heffer worden betaald. Deze jaarlijkse cijnslast kon wo</w:t>
      </w:r>
      <w:r>
        <w:rPr>
          <w:spacing w:val="-3"/>
          <w:sz w:val="19"/>
        </w:rPr>
        <w:t>r</w:t>
      </w:r>
      <w:r>
        <w:rPr>
          <w:spacing w:val="-3"/>
          <w:sz w:val="19"/>
        </w:rPr>
        <w:t>den afgekocht tegen een b</w:t>
      </w:r>
      <w:r>
        <w:rPr>
          <w:spacing w:val="-3"/>
          <w:sz w:val="19"/>
        </w:rPr>
        <w:t>e</w:t>
      </w:r>
      <w:r>
        <w:rPr>
          <w:spacing w:val="-3"/>
          <w:sz w:val="19"/>
        </w:rPr>
        <w:t>ta</w:t>
      </w:r>
      <w:r>
        <w:rPr>
          <w:spacing w:val="-3"/>
          <w:sz w:val="19"/>
        </w:rPr>
        <w:softHyphen/>
        <w:t>ling ineens van het twi</w:t>
      </w:r>
      <w:r>
        <w:rPr>
          <w:spacing w:val="-3"/>
          <w:sz w:val="19"/>
        </w:rPr>
        <w:t>n</w:t>
      </w:r>
      <w:r>
        <w:rPr>
          <w:spacing w:val="-3"/>
          <w:sz w:val="19"/>
        </w:rPr>
        <w:t>tig</w:t>
      </w:r>
      <w:r>
        <w:rPr>
          <w:spacing w:val="-3"/>
          <w:sz w:val="19"/>
        </w:rPr>
        <w:softHyphen/>
        <w:t>voudige; de meeste cij</w:t>
      </w:r>
      <w:r>
        <w:rPr>
          <w:spacing w:val="-3"/>
          <w:sz w:val="19"/>
        </w:rPr>
        <w:t>n</w:t>
      </w:r>
      <w:r>
        <w:rPr>
          <w:spacing w:val="-3"/>
          <w:sz w:val="19"/>
        </w:rPr>
        <w:t>zen zijn echter niet afg</w:t>
      </w:r>
      <w:r>
        <w:rPr>
          <w:spacing w:val="-3"/>
          <w:sz w:val="19"/>
        </w:rPr>
        <w:t>e</w:t>
      </w:r>
      <w:r>
        <w:rPr>
          <w:spacing w:val="-3"/>
          <w:sz w:val="19"/>
        </w:rPr>
        <w:t>kocht voor 1850. Met de over</w:t>
      </w:r>
      <w:r>
        <w:rPr>
          <w:spacing w:val="-3"/>
          <w:sz w:val="19"/>
        </w:rPr>
        <w:softHyphen/>
        <w:t>dracht van de cijnzen door de hertog aan de heer van Helmond ging ook de cijnsadministratie over; h</w:t>
      </w:r>
      <w:r>
        <w:rPr>
          <w:spacing w:val="-3"/>
          <w:sz w:val="19"/>
        </w:rPr>
        <w:t>e</w:t>
      </w:r>
      <w:r>
        <w:rPr>
          <w:spacing w:val="-3"/>
          <w:sz w:val="19"/>
        </w:rPr>
        <w:t>laas is deze alleroudste a</w:t>
      </w:r>
      <w:r>
        <w:rPr>
          <w:spacing w:val="-3"/>
          <w:sz w:val="19"/>
        </w:rPr>
        <w:t>d</w:t>
      </w:r>
      <w:r>
        <w:rPr>
          <w:spacing w:val="-3"/>
          <w:sz w:val="19"/>
        </w:rPr>
        <w:t>ministratie niet bewaard g</w:t>
      </w:r>
      <w:r>
        <w:rPr>
          <w:spacing w:val="-3"/>
          <w:sz w:val="19"/>
        </w:rPr>
        <w:t>e</w:t>
      </w:r>
      <w:r>
        <w:rPr>
          <w:spacing w:val="-3"/>
          <w:sz w:val="19"/>
        </w:rPr>
        <w:t>bleven. Voor Sint-Oedenro</w:t>
      </w:r>
      <w:r>
        <w:rPr>
          <w:spacing w:val="-3"/>
          <w:sz w:val="19"/>
        </w:rPr>
        <w:softHyphen/>
        <w:t>de, Son en Breugel en Liemp</w:t>
      </w:r>
      <w:r>
        <w:rPr>
          <w:spacing w:val="-3"/>
          <w:sz w:val="19"/>
        </w:rPr>
        <w:softHyphen/>
        <w:t>de kan worden teru</w:t>
      </w:r>
      <w:r>
        <w:rPr>
          <w:spacing w:val="-3"/>
          <w:sz w:val="19"/>
        </w:rPr>
        <w:t>g</w:t>
      </w:r>
      <w:r>
        <w:rPr>
          <w:spacing w:val="-3"/>
          <w:sz w:val="19"/>
        </w:rPr>
        <w:t>gewerkt tot ongeveer 1320; voor Helmond tot 1442 en voor de andere dorpen waar</w:t>
      </w:r>
      <w:r>
        <w:rPr>
          <w:spacing w:val="-3"/>
          <w:sz w:val="19"/>
        </w:rPr>
        <w:softHyphen/>
        <w:t>in</w:t>
      </w:r>
      <w:r>
        <w:rPr>
          <w:spacing w:val="-3"/>
          <w:sz w:val="19"/>
        </w:rPr>
        <w:softHyphen/>
        <w:t xml:space="preserve"> dit cijnsrecht van toepa</w:t>
      </w:r>
      <w:r>
        <w:rPr>
          <w:spacing w:val="-3"/>
          <w:sz w:val="19"/>
        </w:rPr>
        <w:t>s</w:t>
      </w:r>
      <w:r>
        <w:rPr>
          <w:spacing w:val="-3"/>
          <w:sz w:val="19"/>
        </w:rPr>
        <w:t>sing was tot een jaar tussen deze twee in. Vanaf 1314 kun</w:t>
      </w:r>
      <w:r>
        <w:rPr>
          <w:spacing w:val="-3"/>
          <w:sz w:val="19"/>
        </w:rPr>
        <w:softHyphen/>
        <w:t>nen we dus spreken van de cijnskring Helmond, het geografische gebied dat het onderwerp is van deze st</w:t>
      </w:r>
      <w:r>
        <w:rPr>
          <w:spacing w:val="-3"/>
          <w:sz w:val="19"/>
        </w:rPr>
        <w:t>u</w:t>
      </w:r>
      <w:r>
        <w:rPr>
          <w:spacing w:val="-3"/>
          <w:sz w:val="19"/>
        </w:rPr>
        <w:t>die. Maar in 1314 bestond wat toen de cijnskring He</w:t>
      </w:r>
      <w:r>
        <w:rPr>
          <w:spacing w:val="-3"/>
          <w:sz w:val="19"/>
        </w:rPr>
        <w:t>l</w:t>
      </w:r>
      <w:r>
        <w:rPr>
          <w:spacing w:val="-3"/>
          <w:sz w:val="19"/>
        </w:rPr>
        <w:t>mond werd in ieder geval al, en waarschijnlijk reeds g</w:t>
      </w:r>
      <w:r>
        <w:rPr>
          <w:spacing w:val="-3"/>
          <w:sz w:val="19"/>
        </w:rPr>
        <w:t>e</w:t>
      </w:r>
      <w:r>
        <w:rPr>
          <w:spacing w:val="-3"/>
          <w:sz w:val="19"/>
        </w:rPr>
        <w:t>ruime tijd. Een aanwijzing is dat in de Helmondse cijnsregisters een onderscheid wordt gemaakt tussen cijnzen die in ou</w:t>
      </w:r>
      <w:r>
        <w:rPr>
          <w:spacing w:val="-3"/>
          <w:sz w:val="19"/>
        </w:rPr>
        <w:softHyphen/>
        <w:t>de en in nieuwe penningen betaald werden. Nieuwe pen</w:t>
      </w:r>
      <w:r>
        <w:rPr>
          <w:spacing w:val="-3"/>
          <w:sz w:val="19"/>
        </w:rPr>
        <w:softHyphen/>
        <w:t>ningen werden in Brabant omstreeks 1250 ingevoerd; de oude penni</w:t>
      </w:r>
      <w:r>
        <w:rPr>
          <w:spacing w:val="-3"/>
          <w:sz w:val="19"/>
        </w:rPr>
        <w:t>n</w:t>
      </w:r>
      <w:r>
        <w:rPr>
          <w:spacing w:val="-3"/>
          <w:sz w:val="19"/>
        </w:rPr>
        <w:t>gen ble</w:t>
      </w:r>
      <w:r>
        <w:rPr>
          <w:spacing w:val="-3"/>
          <w:sz w:val="19"/>
        </w:rPr>
        <w:softHyphen/>
        <w:t>ven overigens nog geruime tijd in gebruik. Dit im</w:t>
      </w:r>
      <w:r>
        <w:rPr>
          <w:spacing w:val="-3"/>
          <w:sz w:val="19"/>
        </w:rPr>
        <w:softHyphen/>
        <w:t xml:space="preserve">pliceert echter </w:t>
      </w:r>
      <w:r>
        <w:rPr>
          <w:spacing w:val="-3"/>
          <w:sz w:val="19"/>
        </w:rPr>
        <w:lastRenderedPageBreak/>
        <w:t>dat de cijnskring als zodanig reeds b</w:t>
      </w:r>
      <w:r>
        <w:rPr>
          <w:spacing w:val="-3"/>
          <w:sz w:val="19"/>
        </w:rPr>
        <w:t>e</w:t>
      </w:r>
      <w:r>
        <w:rPr>
          <w:spacing w:val="-3"/>
          <w:sz w:val="19"/>
        </w:rPr>
        <w:t xml:space="preserve">stond voor 1250. Berekeningen van Van Asseldonk duiden erop dat de posten waarbij oude penningen zijn vermeld betrekking hebben op een periode van ongeveer </w:t>
      </w:r>
    </w:p>
    <w:p w14:paraId="21D0F1C6" w14:textId="77777777" w:rsidR="00000000" w:rsidRDefault="00000000">
      <w:pPr>
        <w:keepNext/>
        <w:rPr>
          <w:sz w:val="19"/>
        </w:rPr>
      </w:pPr>
      <w:r>
        <w:rPr>
          <w:sz w:val="19"/>
        </w:rPr>
        <w:t>50 tot 60 jaar, dus de pe</w:t>
      </w:r>
      <w:r>
        <w:rPr>
          <w:sz w:val="19"/>
        </w:rPr>
        <w:softHyphen/>
        <w:t>rio</w:t>
      </w:r>
      <w:r>
        <w:rPr>
          <w:sz w:val="19"/>
        </w:rPr>
        <w:softHyphen/>
        <w:t>de  1190-1250. Dit zou im</w:t>
      </w:r>
      <w:r>
        <w:rPr>
          <w:sz w:val="19"/>
        </w:rPr>
        <w:softHyphen/>
        <w:t>pli</w:t>
      </w:r>
      <w:r>
        <w:rPr>
          <w:sz w:val="19"/>
        </w:rPr>
        <w:softHyphen/>
        <w:t>ceren dat de hertog de cijnskring verworven heeft toen hij in 1231 het graafschap Rode overnam van de Gelderse graaf. Het lijkt waarschijnlijk dat de cijnzen (waarbij Sint-Oe</w:t>
      </w:r>
      <w:r>
        <w:rPr>
          <w:sz w:val="19"/>
        </w:rPr>
        <w:softHyphen/>
        <w:t>den</w:t>
      </w:r>
      <w:r>
        <w:rPr>
          <w:sz w:val="19"/>
        </w:rPr>
        <w:softHyphen/>
        <w:t>ro</w:t>
      </w:r>
      <w:r>
        <w:rPr>
          <w:sz w:val="19"/>
        </w:rPr>
        <w:softHyphen/>
        <w:t>de altijd als eerste wordt ver</w:t>
      </w:r>
      <w:r>
        <w:rPr>
          <w:sz w:val="19"/>
        </w:rPr>
        <w:softHyphen/>
        <w:t>meld - ook al ver</w:t>
      </w:r>
      <w:r>
        <w:rPr>
          <w:sz w:val="19"/>
        </w:rPr>
        <w:softHyphen/>
        <w:t>wijzend naar de oorsprong van de cijns</w:t>
      </w:r>
      <w:r>
        <w:rPr>
          <w:sz w:val="19"/>
        </w:rPr>
        <w:softHyphen/>
        <w:t>kring) voortgekomen zijn uit het graafschap Rode. Indien we nu een vergelijking maken tussen de plaatsen waarin het Rooise recht van toepassing was en de plaatsen waarin een Helmondse cijns werd geheven dan blijkt dat slechts enkele uitzonderingen bestaan: plaatsen waar wel cijnzen worden geheven, maar waar het Rooise recht niet van toepassing is. Deze uitzonderingen zijn:</w:t>
      </w:r>
    </w:p>
    <w:p w14:paraId="67D81038" w14:textId="77777777" w:rsidR="00000000" w:rsidRDefault="00000000" w:rsidP="00D70A75">
      <w:pPr>
        <w:keepNext/>
        <w:numPr>
          <w:ilvl w:val="0"/>
          <w:numId w:val="1"/>
        </w:numPr>
        <w:rPr>
          <w:sz w:val="19"/>
        </w:rPr>
      </w:pPr>
      <w:r>
        <w:rPr>
          <w:sz w:val="19"/>
        </w:rPr>
        <w:t>Helmond, dat bij de stadsverheffing in het midden van de dertiende eeuw een eigen recht kreeg dat in plaats van het Rooise recht zal zijn gekomen;</w:t>
      </w:r>
    </w:p>
    <w:p w14:paraId="66F325A2" w14:textId="77777777" w:rsidR="00000000" w:rsidRDefault="00000000" w:rsidP="00D70A75">
      <w:pPr>
        <w:keepNext/>
        <w:numPr>
          <w:ilvl w:val="0"/>
          <w:numId w:val="1"/>
        </w:numPr>
        <w:rPr>
          <w:sz w:val="19"/>
        </w:rPr>
      </w:pPr>
      <w:r>
        <w:rPr>
          <w:sz w:val="19"/>
        </w:rPr>
        <w:t>Middelrode, waar de heer van Boxtel aanzienlijke macht bezat. De cijnsheffing werd hier zeer lange tijd betwist; cijnzen in Middelrode komen ook in slechts enkele Helmondse cijnsboeken voor. Middelrode was later ook buiten het Kwartier van Peelland gelegen; wellicht dat hierdoor de rechtssituatie zeer g</w:t>
      </w:r>
      <w:r>
        <w:rPr>
          <w:sz w:val="19"/>
        </w:rPr>
        <w:t>e</w:t>
      </w:r>
      <w:r>
        <w:rPr>
          <w:sz w:val="19"/>
        </w:rPr>
        <w:t>compliceerd was. Waarschijnlijk was de plaats een betwist grensgebied, waar</w:t>
      </w:r>
      <w:r>
        <w:rPr>
          <w:sz w:val="19"/>
        </w:rPr>
        <w:softHyphen/>
        <w:t>door zowel het Rooise recht als de cijnsheffing pr</w:t>
      </w:r>
      <w:r>
        <w:rPr>
          <w:sz w:val="19"/>
        </w:rPr>
        <w:t>o</w:t>
      </w:r>
      <w:r>
        <w:rPr>
          <w:sz w:val="19"/>
        </w:rPr>
        <w:t>blematisch waren;</w:t>
      </w:r>
    </w:p>
    <w:p w14:paraId="18F7AA45" w14:textId="77777777" w:rsidR="00000000" w:rsidRDefault="00000000" w:rsidP="00D70A75">
      <w:pPr>
        <w:keepNext/>
        <w:numPr>
          <w:ilvl w:val="0"/>
          <w:numId w:val="1"/>
        </w:numPr>
        <w:rPr>
          <w:sz w:val="19"/>
        </w:rPr>
      </w:pPr>
      <w:r>
        <w:rPr>
          <w:sz w:val="19"/>
        </w:rPr>
        <w:t>Someren;</w:t>
      </w:r>
    </w:p>
    <w:p w14:paraId="704BDA8D" w14:textId="77777777" w:rsidR="00000000" w:rsidRDefault="00000000" w:rsidP="00D70A75">
      <w:pPr>
        <w:keepNext/>
        <w:numPr>
          <w:ilvl w:val="0"/>
          <w:numId w:val="1"/>
        </w:numPr>
        <w:rPr>
          <w:sz w:val="19"/>
        </w:rPr>
      </w:pPr>
      <w:r>
        <w:rPr>
          <w:sz w:val="19"/>
        </w:rPr>
        <w:t>Vlierden.</w:t>
      </w:r>
    </w:p>
    <w:p w14:paraId="290C49FC" w14:textId="77777777" w:rsidR="00000000" w:rsidRDefault="00000000">
      <w:pPr>
        <w:keepNext/>
        <w:rPr>
          <w:sz w:val="19"/>
        </w:rPr>
      </w:pPr>
      <w:r>
        <w:rPr>
          <w:sz w:val="19"/>
        </w:rPr>
        <w:t>Voor beide laatste plaatsen is niet bekend waarom het Rooise recht niet van toepassing was.</w:t>
      </w:r>
    </w:p>
    <w:p w14:paraId="577F1EA3" w14:textId="77777777" w:rsidR="00000000" w:rsidRDefault="00000000">
      <w:pPr>
        <w:keepNext/>
        <w:rPr>
          <w:sz w:val="19"/>
        </w:rPr>
      </w:pPr>
      <w:r>
        <w:rPr>
          <w:sz w:val="19"/>
        </w:rPr>
        <w:t>Op basis van deze vergelijking zullen al die plaatsen waar zowel het Rooise recht als de cijnzen van de heer van Helmond werden geheven een waarschijnlijk onderdeel geweest zijn van het graafschap Rode. He</w:t>
      </w:r>
      <w:r>
        <w:rPr>
          <w:sz w:val="19"/>
        </w:rPr>
        <w:t>l</w:t>
      </w:r>
      <w:r>
        <w:rPr>
          <w:sz w:val="19"/>
        </w:rPr>
        <w:t>mond heeft waarschijnlijk wel tot het graafschap behoord; voor Vlierden en Someren lijkt het mogelijk, maar is het niet aantoo</w:t>
      </w:r>
      <w:r>
        <w:rPr>
          <w:sz w:val="19"/>
        </w:rPr>
        <w:t>n</w:t>
      </w:r>
      <w:r>
        <w:rPr>
          <w:sz w:val="19"/>
        </w:rPr>
        <w:t>baar.</w:t>
      </w:r>
    </w:p>
    <w:p w14:paraId="42C7481A" w14:textId="77777777" w:rsidR="00000000" w:rsidRDefault="00000000">
      <w:pPr>
        <w:keepNext/>
        <w:rPr>
          <w:sz w:val="19"/>
        </w:rPr>
      </w:pPr>
      <w:r>
        <w:rPr>
          <w:sz w:val="19"/>
        </w:rPr>
        <w:t>Met betrekking tot de plaatsen waar geen Roois recht gold en die niet behoorden tot de cijnskring kan geen uitspraak worden gedaan. De machtspositie van lokale heren kan daar in het uiteindelijk ontbreken van beide as</w:t>
      </w:r>
      <w:r>
        <w:rPr>
          <w:sz w:val="19"/>
        </w:rPr>
        <w:softHyphen/>
        <w:t>pecten een rol gespeeld hebben. Asten bijvoorbeeld was tot 1362 een allodiaal bezit van de heren van Cuyk. Heeze, Leende en Sterksel waren bezit van de heren van Horne en Altena, verwant aan de Van Cuyks. Geldrop was tot 1288 Gelders; vandaar dat daar het Zutphens recht werd gebruikt. Maarheeze en Budel waren een allodiaal gebied van de heren van Cranendonk. En wellicht hebben ook de heren van Mierlo beide aspecten weten te elimin</w:t>
      </w:r>
      <w:r>
        <w:rPr>
          <w:sz w:val="19"/>
        </w:rPr>
        <w:t>e</w:t>
      </w:r>
      <w:r>
        <w:rPr>
          <w:sz w:val="19"/>
        </w:rPr>
        <w:t xml:space="preserve">ren. </w:t>
      </w:r>
    </w:p>
    <w:p w14:paraId="7225F512" w14:textId="77777777" w:rsidR="00000000" w:rsidRDefault="00000000">
      <w:pPr>
        <w:tabs>
          <w:tab w:val="left" w:pos="-1440"/>
          <w:tab w:val="left" w:pos="-720"/>
        </w:tabs>
        <w:rPr>
          <w:spacing w:val="-3"/>
          <w:sz w:val="19"/>
        </w:rPr>
      </w:pPr>
    </w:p>
    <w:p w14:paraId="35379565" w14:textId="77777777" w:rsidR="00000000" w:rsidRDefault="00000000">
      <w:pPr>
        <w:tabs>
          <w:tab w:val="left" w:pos="-1440"/>
          <w:tab w:val="left" w:pos="-720"/>
        </w:tabs>
        <w:rPr>
          <w:i/>
        </w:rPr>
      </w:pPr>
      <w:r>
        <w:rPr>
          <w:i/>
        </w:rPr>
        <w:t xml:space="preserve">Het middeleeuwse landschap in deze regio </w:t>
      </w:r>
    </w:p>
    <w:p w14:paraId="306B2639" w14:textId="77777777" w:rsidR="00000000" w:rsidRDefault="00000000">
      <w:pPr>
        <w:tabs>
          <w:tab w:val="left" w:pos="-1440"/>
          <w:tab w:val="left" w:pos="-720"/>
        </w:tabs>
        <w:rPr>
          <w:sz w:val="19"/>
        </w:rPr>
      </w:pPr>
      <w:r>
        <w:rPr>
          <w:sz w:val="19"/>
        </w:rPr>
        <w:t>Het door ons bestu</w:t>
      </w:r>
      <w:r>
        <w:rPr>
          <w:sz w:val="19"/>
        </w:rPr>
        <w:softHyphen/>
        <w:t>deerde gebied ligt geheel in zand-Brabant, met name in de subregio’s Dommel en Peel en wordt doorsneden door zowel het Dommeldal als het Aadal. De oost</w:t>
      </w:r>
      <w:r>
        <w:rPr>
          <w:sz w:val="19"/>
        </w:rPr>
        <w:softHyphen/>
        <w:t>grens vormde destijds het Peelmo</w:t>
      </w:r>
      <w:r>
        <w:rPr>
          <w:sz w:val="19"/>
        </w:rPr>
        <w:t>e</w:t>
      </w:r>
      <w:r>
        <w:rPr>
          <w:sz w:val="19"/>
        </w:rPr>
        <w:t>ras. Vanzelf</w:t>
      </w:r>
      <w:r>
        <w:rPr>
          <w:sz w:val="19"/>
        </w:rPr>
        <w:softHyphen/>
        <w:t>spre</w:t>
      </w:r>
      <w:r>
        <w:rPr>
          <w:sz w:val="19"/>
        </w:rPr>
        <w:softHyphen/>
        <w:t>kend is binnen het gebied net als elders het landschap in het verleden voortdu</w:t>
      </w:r>
      <w:r>
        <w:rPr>
          <w:sz w:val="19"/>
        </w:rPr>
        <w:softHyphen/>
        <w:t>rend aan ve</w:t>
      </w:r>
      <w:r>
        <w:rPr>
          <w:sz w:val="19"/>
        </w:rPr>
        <w:t>r</w:t>
      </w:r>
      <w:r>
        <w:rPr>
          <w:sz w:val="19"/>
        </w:rPr>
        <w:t>ande</w:t>
      </w:r>
      <w:r>
        <w:rPr>
          <w:sz w:val="19"/>
        </w:rPr>
        <w:softHyphen/>
        <w:t>ringen onderhevig geweest. In deze veranderingen is een golfbeweging zichtbaar; enerzijds grijpt de mens op gezette tijden in het landschap in, anderzijds herstelt de natuur zich gedu</w:t>
      </w:r>
      <w:r>
        <w:rPr>
          <w:sz w:val="19"/>
        </w:rPr>
        <w:softHyphen/>
        <w:t>rende kortere of langere pe</w:t>
      </w:r>
      <w:r>
        <w:rPr>
          <w:sz w:val="19"/>
        </w:rPr>
        <w:softHyphen/>
        <w:t>rio</w:t>
      </w:r>
      <w:r>
        <w:rPr>
          <w:sz w:val="19"/>
        </w:rPr>
        <w:softHyphen/>
        <w:t>den. De belangstelling voor het vroegmiddeleeuwse landschap en de reconstructie ervan neemt m.n. vanuit de histo</w:t>
      </w:r>
      <w:r>
        <w:rPr>
          <w:sz w:val="19"/>
        </w:rPr>
        <w:softHyphen/>
        <w:t>risch-geografische en cultuurhis</w:t>
      </w:r>
      <w:r>
        <w:rPr>
          <w:sz w:val="19"/>
        </w:rPr>
        <w:softHyphen/>
        <w:t>tori</w:t>
      </w:r>
      <w:r>
        <w:rPr>
          <w:sz w:val="19"/>
        </w:rPr>
        <w:softHyphen/>
        <w:t>sche hoek sterk toe. Kennis van dit vroe</w:t>
      </w:r>
      <w:r>
        <w:rPr>
          <w:sz w:val="19"/>
        </w:rPr>
        <w:softHyphen/>
        <w:t>gere landschap is van belang om enig inzicht te krijgen in de genese of het ontwik</w:t>
      </w:r>
      <w:r>
        <w:rPr>
          <w:sz w:val="19"/>
        </w:rPr>
        <w:softHyphen/>
        <w:t>kelings</w:t>
      </w:r>
      <w:r>
        <w:rPr>
          <w:sz w:val="19"/>
        </w:rPr>
        <w:softHyphen/>
        <w:t>proces naar een bepaald ty</w:t>
      </w:r>
      <w:r>
        <w:rPr>
          <w:sz w:val="19"/>
        </w:rPr>
        <w:softHyphen/>
        <w:t>pe cu</w:t>
      </w:r>
      <w:r>
        <w:rPr>
          <w:sz w:val="19"/>
        </w:rPr>
        <w:t>l</w:t>
      </w:r>
      <w:r>
        <w:rPr>
          <w:sz w:val="19"/>
        </w:rPr>
        <w:t>tuur</w:t>
      </w:r>
      <w:r>
        <w:rPr>
          <w:sz w:val="19"/>
        </w:rPr>
        <w:softHyphen/>
        <w:t>land</w:t>
      </w:r>
      <w:r>
        <w:rPr>
          <w:sz w:val="19"/>
        </w:rPr>
        <w:softHyphen/>
        <w:t>schap. Naast soci</w:t>
      </w:r>
      <w:r>
        <w:rPr>
          <w:sz w:val="19"/>
        </w:rPr>
        <w:softHyphen/>
        <w:t>aal-economi</w:t>
      </w:r>
      <w:r>
        <w:rPr>
          <w:sz w:val="19"/>
        </w:rPr>
        <w:softHyphen/>
        <w:t>sche factoren is ook het fysisch milieu bepa</w:t>
      </w:r>
      <w:r>
        <w:rPr>
          <w:sz w:val="19"/>
        </w:rPr>
        <w:softHyphen/>
        <w:t>lend geweest voor de m</w:t>
      </w:r>
      <w:r>
        <w:rPr>
          <w:sz w:val="19"/>
        </w:rPr>
        <w:t>a</w:t>
      </w:r>
      <w:r>
        <w:rPr>
          <w:sz w:val="19"/>
        </w:rPr>
        <w:t>nier waarop de vormge</w:t>
      </w:r>
      <w:r>
        <w:rPr>
          <w:sz w:val="19"/>
        </w:rPr>
        <w:softHyphen/>
        <w:t>ving van de cul</w:t>
      </w:r>
      <w:r>
        <w:rPr>
          <w:sz w:val="19"/>
        </w:rPr>
        <w:softHyphen/>
        <w:t>tuur</w:t>
      </w:r>
      <w:r>
        <w:rPr>
          <w:sz w:val="19"/>
        </w:rPr>
        <w:softHyphen/>
        <w:t>landschappen gestal</w:t>
      </w:r>
      <w:r>
        <w:rPr>
          <w:sz w:val="19"/>
        </w:rPr>
        <w:softHyphen/>
        <w:t>te heeft gekregen. Gesteld kan worden dat zowel de locatiekeuze van de oudste neder</w:t>
      </w:r>
      <w:r>
        <w:rPr>
          <w:sz w:val="19"/>
        </w:rPr>
        <w:softHyphen/>
        <w:t>zettin</w:t>
      </w:r>
      <w:r>
        <w:rPr>
          <w:sz w:val="19"/>
        </w:rPr>
        <w:softHyphen/>
        <w:t>gen, hun agrari</w:t>
      </w:r>
      <w:r>
        <w:rPr>
          <w:sz w:val="19"/>
        </w:rPr>
        <w:softHyphen/>
        <w:t>sche cultuur</w:t>
      </w:r>
      <w:r>
        <w:rPr>
          <w:sz w:val="19"/>
        </w:rPr>
        <w:softHyphen/>
        <w:t>gronden, de wijze van grond</w:t>
      </w:r>
      <w:r>
        <w:rPr>
          <w:sz w:val="19"/>
        </w:rPr>
        <w:softHyphen/>
        <w:t>ge</w:t>
      </w:r>
      <w:r>
        <w:rPr>
          <w:sz w:val="19"/>
        </w:rPr>
        <w:softHyphen/>
        <w:t>bruik en de continu</w:t>
      </w:r>
      <w:r>
        <w:rPr>
          <w:sz w:val="19"/>
        </w:rPr>
        <w:softHyphen/>
        <w:t>ïteit van de bewoning in hoge mate zijn beïnvloed door natuur</w:t>
      </w:r>
      <w:r>
        <w:rPr>
          <w:sz w:val="19"/>
        </w:rPr>
        <w:softHyphen/>
        <w:t>lijke omstan</w:t>
      </w:r>
      <w:r>
        <w:rPr>
          <w:sz w:val="19"/>
        </w:rPr>
        <w:softHyphen/>
        <w:t>dig</w:t>
      </w:r>
      <w:r>
        <w:rPr>
          <w:sz w:val="19"/>
        </w:rPr>
        <w:softHyphen/>
        <w:t>he</w:t>
      </w:r>
      <w:r>
        <w:rPr>
          <w:sz w:val="19"/>
        </w:rPr>
        <w:softHyphen/>
        <w:t>den. Een naamkundige studie als deze draagt bij aan een betere kennis van het landschap in het oostelijk deel van de provincie. Veel nederzettings- en veld</w:t>
      </w:r>
      <w:r>
        <w:rPr>
          <w:sz w:val="19"/>
        </w:rPr>
        <w:softHyphen/>
        <w:t>namen zijn immers, zoals uit de verschillende overzichten per rubriek blijkt</w:t>
      </w:r>
      <w:r>
        <w:rPr>
          <w:sz w:val="19"/>
        </w:rPr>
        <w:softHyphen/>
        <w:t>, ontleend aan de land</w:t>
      </w:r>
      <w:r>
        <w:rPr>
          <w:sz w:val="19"/>
        </w:rPr>
        <w:softHyphen/>
        <w:t>schappelijke gesteldheid. Zo kan gewezen worden op naam</w:t>
      </w:r>
      <w:r>
        <w:rPr>
          <w:sz w:val="19"/>
        </w:rPr>
        <w:softHyphen/>
        <w:t>kundi</w:t>
      </w:r>
      <w:r>
        <w:rPr>
          <w:sz w:val="19"/>
        </w:rPr>
        <w:softHyphen/>
        <w:t>ge ele</w:t>
      </w:r>
      <w:r>
        <w:rPr>
          <w:sz w:val="19"/>
        </w:rPr>
        <w:softHyphen/>
        <w:t>menten die betrekking hebben op de oorspronke</w:t>
      </w:r>
      <w:r>
        <w:rPr>
          <w:sz w:val="19"/>
        </w:rPr>
        <w:softHyphen/>
        <w:t>lijke begroei</w:t>
      </w:r>
      <w:r>
        <w:rPr>
          <w:sz w:val="19"/>
        </w:rPr>
        <w:softHyphen/>
        <w:t>ing, op elementen die het reliëf in het lan</w:t>
      </w:r>
      <w:r>
        <w:rPr>
          <w:sz w:val="19"/>
        </w:rPr>
        <w:t>d</w:t>
      </w:r>
      <w:r>
        <w:rPr>
          <w:sz w:val="19"/>
        </w:rPr>
        <w:t>schap accen</w:t>
      </w:r>
      <w:r>
        <w:rPr>
          <w:sz w:val="19"/>
        </w:rPr>
        <w:softHyphen/>
        <w:t>tueren, op elementen die aan</w:t>
      </w:r>
      <w:r>
        <w:rPr>
          <w:sz w:val="19"/>
        </w:rPr>
        <w:softHyphen/>
        <w:t>wijzingen bevatten ten aanzien van de terreinge</w:t>
      </w:r>
      <w:r>
        <w:rPr>
          <w:sz w:val="19"/>
        </w:rPr>
        <w:softHyphen/>
        <w:t>steldheid bij het in gebruik nemen van de grond en tenslotte op ele</w:t>
      </w:r>
      <w:r>
        <w:rPr>
          <w:sz w:val="19"/>
        </w:rPr>
        <w:softHyphen/>
        <w:t>menten die rechtstreeks verwijzen naar de bew</w:t>
      </w:r>
      <w:r>
        <w:rPr>
          <w:sz w:val="19"/>
        </w:rPr>
        <w:t>o</w:t>
      </w:r>
      <w:r>
        <w:rPr>
          <w:sz w:val="19"/>
        </w:rPr>
        <w:t xml:space="preserve">ning zelf. </w:t>
      </w:r>
    </w:p>
    <w:p w14:paraId="19A62D14" w14:textId="77777777" w:rsidR="00000000" w:rsidRDefault="00000000">
      <w:pPr>
        <w:tabs>
          <w:tab w:val="left" w:pos="-1440"/>
          <w:tab w:val="left" w:pos="-720"/>
        </w:tabs>
        <w:rPr>
          <w:sz w:val="19"/>
        </w:rPr>
      </w:pPr>
    </w:p>
    <w:p w14:paraId="171C1FFA" w14:textId="77777777" w:rsidR="00000000" w:rsidRDefault="00000000">
      <w:pPr>
        <w:tabs>
          <w:tab w:val="left" w:pos="-1440"/>
          <w:tab w:val="left" w:pos="-720"/>
        </w:tabs>
        <w:rPr>
          <w:i/>
          <w:sz w:val="19"/>
        </w:rPr>
      </w:pPr>
      <w:r>
        <w:rPr>
          <w:i/>
          <w:sz w:val="19"/>
        </w:rPr>
        <w:t xml:space="preserve">Summiere geologische gegevens </w:t>
      </w:r>
    </w:p>
    <w:p w14:paraId="2D0366C7" w14:textId="77777777" w:rsidR="00000000" w:rsidRDefault="00000000">
      <w:pPr>
        <w:tabs>
          <w:tab w:val="left" w:pos="-1440"/>
          <w:tab w:val="left" w:pos="-720"/>
        </w:tabs>
        <w:rPr>
          <w:sz w:val="19"/>
        </w:rPr>
      </w:pPr>
      <w:r>
        <w:rPr>
          <w:sz w:val="19"/>
        </w:rPr>
        <w:t>De cijnskring van Helmond ligt voor het overgrote deel binnen de geologische kaartbladen 51 O en 52 W resp. Eindhoven-oost en Venlo-west en maakt deel uit van de Centrale Slenk die ten westen ligt van de Peelhorst. De breuk</w:t>
      </w:r>
      <w:r>
        <w:rPr>
          <w:sz w:val="19"/>
        </w:rPr>
        <w:softHyphen/>
        <w:t>zone tussen horst en slenk, ongeveer de lijn Bakel-Gemert-Uden, wordt de Peelrand</w:t>
      </w:r>
      <w:r>
        <w:rPr>
          <w:sz w:val="19"/>
        </w:rPr>
        <w:softHyphen/>
        <w:t>breuk genoemd. Ten noorden van Bakel is deze nog zichtbaar in het land</w:t>
      </w:r>
      <w:r>
        <w:rPr>
          <w:sz w:val="19"/>
        </w:rPr>
        <w:softHyphen/>
        <w:t>schap. Hier en daar komen pl</w:t>
      </w:r>
      <w:r>
        <w:rPr>
          <w:sz w:val="19"/>
        </w:rPr>
        <w:t>a</w:t>
      </w:r>
      <w:r>
        <w:rPr>
          <w:sz w:val="19"/>
        </w:rPr>
        <w:t>teauvor</w:t>
      </w:r>
      <w:r>
        <w:rPr>
          <w:sz w:val="19"/>
        </w:rPr>
        <w:softHyphen/>
        <w:t>mige hoogten voor, zoals bv. in de omgeving van Deurne en Milheeze. Het gebied van deze kaar</w:t>
      </w:r>
      <w:r>
        <w:rPr>
          <w:sz w:val="19"/>
        </w:rPr>
        <w:t>t</w:t>
      </w:r>
      <w:r>
        <w:rPr>
          <w:sz w:val="19"/>
        </w:rPr>
        <w:t>bladen staat bovendien bekend als een ‘dekzand</w:t>
      </w:r>
      <w:r>
        <w:rPr>
          <w:sz w:val="19"/>
        </w:rPr>
        <w:softHyphen/>
        <w:t>land</w:t>
      </w:r>
      <w:r>
        <w:rPr>
          <w:sz w:val="19"/>
        </w:rPr>
        <w:softHyphen/>
        <w:t>schap’, zoals dat in grote delen van Brabant wordt aange</w:t>
      </w:r>
      <w:r>
        <w:rPr>
          <w:sz w:val="19"/>
        </w:rPr>
        <w:softHyphen/>
        <w:t>trof</w:t>
      </w:r>
      <w:r>
        <w:rPr>
          <w:sz w:val="19"/>
        </w:rPr>
        <w:softHyphen/>
        <w:t>fen. Typerend voor dit land</w:t>
      </w:r>
      <w:r>
        <w:rPr>
          <w:sz w:val="19"/>
        </w:rPr>
        <w:softHyphen/>
        <w:t>schapstype is het zwak golvend oppervlak, dat werd gevormd door eolisch afgezet</w:t>
      </w:r>
      <w:r>
        <w:rPr>
          <w:sz w:val="19"/>
        </w:rPr>
        <w:softHyphen/>
        <w:t>te matig fijne zanden. Deze door wind ontstane zanddek</w:t>
      </w:r>
      <w:r>
        <w:rPr>
          <w:sz w:val="19"/>
        </w:rPr>
        <w:softHyphen/>
        <w:t>ken liggen als een deken over de ou</w:t>
      </w:r>
      <w:r>
        <w:rPr>
          <w:sz w:val="19"/>
        </w:rPr>
        <w:softHyphen/>
        <w:t>de</w:t>
      </w:r>
      <w:r>
        <w:rPr>
          <w:sz w:val="19"/>
        </w:rPr>
        <w:softHyphen/>
        <w:t>re afzettingen heen, van</w:t>
      </w:r>
      <w:r>
        <w:rPr>
          <w:sz w:val="19"/>
        </w:rPr>
        <w:softHyphen/>
        <w:t>daar de naam ‘dek</w:t>
      </w:r>
      <w:r>
        <w:rPr>
          <w:sz w:val="19"/>
        </w:rPr>
        <w:softHyphen/>
        <w:t>zand’. Aanvankelijk zijn deze dekzan</w:t>
      </w:r>
      <w:r>
        <w:rPr>
          <w:sz w:val="19"/>
        </w:rPr>
        <w:softHyphen/>
        <w:t>den aangevoerd uit het des</w:t>
      </w:r>
      <w:r>
        <w:rPr>
          <w:sz w:val="19"/>
        </w:rPr>
        <w:softHyphen/>
        <w:t>tijds droogliggende Noordzee-bekken. Het is ontstaan in het Weich</w:t>
      </w:r>
      <w:r>
        <w:rPr>
          <w:sz w:val="19"/>
        </w:rPr>
        <w:softHyphen/>
        <w:t>se</w:t>
      </w:r>
      <w:r>
        <w:rPr>
          <w:sz w:val="19"/>
        </w:rPr>
        <w:softHyphen/>
        <w:t>lien, de jongste ijstijd van het Plei</w:t>
      </w:r>
      <w:r>
        <w:rPr>
          <w:sz w:val="19"/>
        </w:rPr>
        <w:softHyphen/>
        <w:t>sto</w:t>
      </w:r>
      <w:r>
        <w:rPr>
          <w:sz w:val="19"/>
        </w:rPr>
        <w:softHyphen/>
        <w:t>ceen (plm. 2.000.000-10.000 v. Chr.). Tijdens het einde van deze ijstijd vonden er in dit gebied, on</w:t>
      </w:r>
      <w:r>
        <w:rPr>
          <w:sz w:val="19"/>
        </w:rPr>
        <w:softHyphen/>
        <w:t>der re</w:t>
      </w:r>
      <w:r>
        <w:rPr>
          <w:sz w:val="19"/>
        </w:rPr>
        <w:softHyphen/>
        <w:t>latief koude en droge klimato</w:t>
      </w:r>
      <w:r>
        <w:rPr>
          <w:sz w:val="19"/>
        </w:rPr>
        <w:softHyphen/>
        <w:t>logische omstan</w:t>
      </w:r>
      <w:r>
        <w:rPr>
          <w:sz w:val="19"/>
        </w:rPr>
        <w:softHyphen/>
        <w:t>digheden, op grote schaal zand</w:t>
      </w:r>
      <w:r>
        <w:rPr>
          <w:sz w:val="19"/>
        </w:rPr>
        <w:softHyphen/>
        <w:t>verstuivin</w:t>
      </w:r>
      <w:r>
        <w:rPr>
          <w:sz w:val="19"/>
        </w:rPr>
        <w:softHyphen/>
        <w:t>gen plaats. Op som</w:t>
      </w:r>
      <w:r>
        <w:rPr>
          <w:sz w:val="19"/>
        </w:rPr>
        <w:softHyphen/>
        <w:t>mige plaatsen vertoont het dek</w:t>
      </w:r>
      <w:r>
        <w:rPr>
          <w:sz w:val="19"/>
        </w:rPr>
        <w:softHyphen/>
        <w:t>landschap van zuidwest naar noordoost langge</w:t>
      </w:r>
      <w:r>
        <w:rPr>
          <w:sz w:val="19"/>
        </w:rPr>
        <w:softHyphen/>
        <w:t>rekte zones. Zo zijn bv. de ‘Noorde</w:t>
      </w:r>
      <w:r>
        <w:rPr>
          <w:sz w:val="19"/>
        </w:rPr>
        <w:softHyphen/>
      </w:r>
      <w:r>
        <w:rPr>
          <w:sz w:val="19"/>
        </w:rPr>
        <w:lastRenderedPageBreak/>
        <w:t>lijke en de Midden Brabantse dek</w:t>
      </w:r>
      <w:r>
        <w:rPr>
          <w:sz w:val="19"/>
        </w:rPr>
        <w:softHyphen/>
        <w:t>zandrug’ bekend. De laatste is er verantwoorde</w:t>
      </w:r>
      <w:r>
        <w:rPr>
          <w:sz w:val="19"/>
        </w:rPr>
        <w:softHyphen/>
        <w:t>lijk voor dat de ri</w:t>
      </w:r>
      <w:r>
        <w:rPr>
          <w:sz w:val="19"/>
        </w:rPr>
        <w:softHyphen/>
        <w:t>viertjes Dommel en Aa, om deze ‘barrière’ te nemen, naar het NO afbuigen om daarna hun oor</w:t>
      </w:r>
      <w:r>
        <w:rPr>
          <w:sz w:val="19"/>
        </w:rPr>
        <w:softHyphen/>
        <w:t>spron</w:t>
      </w:r>
      <w:r>
        <w:rPr>
          <w:sz w:val="19"/>
        </w:rPr>
        <w:softHyphen/>
        <w:t>kelijke NW-richting weer te vervolgen. Samen met een netwerk van ZO-NW verlopende beekjes verzorgen zij de afwate</w:t>
      </w:r>
      <w:r>
        <w:rPr>
          <w:sz w:val="19"/>
        </w:rPr>
        <w:softHyphen/>
        <w:t>ring van een deel van de hogere zand</w:t>
      </w:r>
      <w:r>
        <w:rPr>
          <w:sz w:val="19"/>
        </w:rPr>
        <w:softHyphen/>
        <w:t>gronden. De dekzandrug van de Strabrechtseheide vormt de waterscheiding tussen het stroo</w:t>
      </w:r>
      <w:r>
        <w:rPr>
          <w:sz w:val="19"/>
        </w:rPr>
        <w:softHyphen/>
        <w:t>mgebied van de Aa en de Dommel. Ten zuiden van deze dekzandzo</w:t>
      </w:r>
      <w:r>
        <w:rPr>
          <w:sz w:val="19"/>
        </w:rPr>
        <w:softHyphen/>
        <w:t>ne, ongeveer op de lijn Eindho</w:t>
      </w:r>
      <w:r>
        <w:rPr>
          <w:sz w:val="19"/>
        </w:rPr>
        <w:softHyphen/>
        <w:t>ven-Helmond, zijn sporen in het landschap waar te nemen die er op duiden dat niet alleen in de geologische periode van het Pleistoceen, maar ook in het Holo</w:t>
      </w:r>
      <w:r>
        <w:rPr>
          <w:sz w:val="19"/>
        </w:rPr>
        <w:softHyphen/>
        <w:t>ceen (vanaf 10.000 v. Chr.), deze barriëre een belang</w:t>
      </w:r>
      <w:r>
        <w:rPr>
          <w:sz w:val="19"/>
        </w:rPr>
        <w:softHyphen/>
        <w:t>rijke stagnatie vormde voor de beken. Langs de Dommel en vooral langs de Aa zijn uitgestrekte stroken waarneembaar met holocene beekleem. Dit wijst erop dat tijdens deze perio</w:t>
      </w:r>
      <w:r>
        <w:rPr>
          <w:sz w:val="19"/>
        </w:rPr>
        <w:softHyphen/>
        <w:t>den van grote waterafvoer ten zuiden van deze barrière hele gebie</w:t>
      </w:r>
      <w:r>
        <w:rPr>
          <w:sz w:val="19"/>
        </w:rPr>
        <w:softHyphen/>
        <w:t xml:space="preserve">den overstroomd geweest moeten zijn.  </w:t>
      </w:r>
    </w:p>
    <w:p w14:paraId="768AB988" w14:textId="77777777" w:rsidR="00000000" w:rsidRDefault="00000000">
      <w:pPr>
        <w:tabs>
          <w:tab w:val="left" w:pos="-1440"/>
          <w:tab w:val="left" w:pos="-720"/>
        </w:tabs>
        <w:rPr>
          <w:sz w:val="19"/>
        </w:rPr>
      </w:pPr>
    </w:p>
    <w:p w14:paraId="42FC7D0F" w14:textId="77777777" w:rsidR="00000000" w:rsidRDefault="00000000">
      <w:pPr>
        <w:tabs>
          <w:tab w:val="left" w:pos="-1440"/>
          <w:tab w:val="left" w:pos="-720"/>
        </w:tabs>
        <w:rPr>
          <w:i/>
          <w:sz w:val="19"/>
        </w:rPr>
      </w:pPr>
      <w:r>
        <w:rPr>
          <w:i/>
          <w:sz w:val="19"/>
        </w:rPr>
        <w:t>De waterhuishouding in het gebied</w:t>
      </w:r>
    </w:p>
    <w:p w14:paraId="6B567C97" w14:textId="77777777" w:rsidR="00000000" w:rsidRDefault="00000000">
      <w:pPr>
        <w:tabs>
          <w:tab w:val="left" w:pos="-1440"/>
          <w:tab w:val="left" w:pos="-720"/>
        </w:tabs>
        <w:rPr>
          <w:sz w:val="19"/>
        </w:rPr>
      </w:pPr>
      <w:r>
        <w:rPr>
          <w:sz w:val="19"/>
        </w:rPr>
        <w:t>De Dommel, met oude benamingen als Duthmala, Didmella, Dom</w:t>
      </w:r>
      <w:r>
        <w:rPr>
          <w:sz w:val="19"/>
        </w:rPr>
        <w:softHyphen/>
        <w:t>mela en Dummela, vindt haar oor</w:t>
      </w:r>
      <w:r>
        <w:rPr>
          <w:sz w:val="19"/>
        </w:rPr>
        <w:softHyphen/>
        <w:t>sprong in het moerasgebied de Zeven</w:t>
      </w:r>
      <w:r>
        <w:rPr>
          <w:sz w:val="19"/>
        </w:rPr>
        <w:softHyphen/>
        <w:t>moeren in de omgeving van het Belgische Eksel. Bij Borkel en Schaft komt de rivier ons land binnen en op haar weg in noorde</w:t>
      </w:r>
      <w:r>
        <w:rPr>
          <w:sz w:val="19"/>
        </w:rPr>
        <w:softHyphen/>
        <w:t>lijke richting neemt ze een aantal kleine stroompjes en be</w:t>
      </w:r>
      <w:r>
        <w:rPr>
          <w:sz w:val="19"/>
        </w:rPr>
        <w:softHyphen/>
        <w:t>ken op, zoals de Keersop, de Run, de Gender, de Tongel</w:t>
      </w:r>
      <w:r>
        <w:rPr>
          <w:sz w:val="19"/>
        </w:rPr>
        <w:softHyphen/>
        <w:t>reep, de Rul of Kleine Dom</w:t>
      </w:r>
      <w:r>
        <w:rPr>
          <w:sz w:val="19"/>
        </w:rPr>
        <w:softHyphen/>
        <w:t>mel, de Hooidonkse</w:t>
      </w:r>
      <w:r>
        <w:rPr>
          <w:sz w:val="19"/>
        </w:rPr>
        <w:softHyphen/>
        <w:t>beek, de Ekkers</w:t>
      </w:r>
      <w:r>
        <w:rPr>
          <w:sz w:val="19"/>
        </w:rPr>
        <w:softHyphen/>
        <w:t>rijt, de Grote Waterloop, de Beerze, de Beeksewaterloop en de Esschestroom. Samen met de Aa mondt de Dommel tenslotte uit in de Dieze en uiteindelijk in de Maas. De plaatsen van de cijns</w:t>
      </w:r>
      <w:r>
        <w:rPr>
          <w:sz w:val="19"/>
        </w:rPr>
        <w:softHyphen/>
        <w:t>kring die in het Dommeldal zijn gelegen zijn Tongel</w:t>
      </w:r>
      <w:r>
        <w:rPr>
          <w:sz w:val="19"/>
        </w:rPr>
        <w:softHyphen/>
        <w:t>re, Nue</w:t>
      </w:r>
      <w:r>
        <w:rPr>
          <w:sz w:val="19"/>
        </w:rPr>
        <w:softHyphen/>
        <w:t>nen, Ger</w:t>
      </w:r>
      <w:r>
        <w:rPr>
          <w:sz w:val="19"/>
        </w:rPr>
        <w:softHyphen/>
        <w:t>wen, Nederwetten, Son en Breugel, St. O</w:t>
      </w:r>
      <w:r>
        <w:rPr>
          <w:sz w:val="19"/>
        </w:rPr>
        <w:t>e</w:t>
      </w:r>
      <w:r>
        <w:rPr>
          <w:sz w:val="19"/>
        </w:rPr>
        <w:t>denrode en Liempde. Over haar gehele lengte heeft deze vroeger sterk meande</w:t>
      </w:r>
      <w:r>
        <w:rPr>
          <w:sz w:val="19"/>
        </w:rPr>
        <w:softHyphen/>
        <w:t>rende rivier een vrij smal dal g</w:t>
      </w:r>
      <w:r>
        <w:rPr>
          <w:sz w:val="19"/>
        </w:rPr>
        <w:t>e</w:t>
      </w:r>
      <w:r>
        <w:rPr>
          <w:sz w:val="19"/>
        </w:rPr>
        <w:t>vormd.</w:t>
      </w:r>
    </w:p>
    <w:p w14:paraId="6FF6AC61" w14:textId="77777777" w:rsidR="00000000" w:rsidRDefault="00000000">
      <w:pPr>
        <w:tabs>
          <w:tab w:val="left" w:pos="-1440"/>
          <w:tab w:val="left" w:pos="-720"/>
        </w:tabs>
        <w:rPr>
          <w:sz w:val="19"/>
        </w:rPr>
      </w:pPr>
      <w:r>
        <w:rPr>
          <w:sz w:val="19"/>
        </w:rPr>
        <w:t>De Aa is afkom</w:t>
      </w:r>
      <w:r>
        <w:rPr>
          <w:sz w:val="19"/>
        </w:rPr>
        <w:softHyphen/>
        <w:t>stig uit de Peel en draagt als het ware de zorg voor de waterhuishou</w:t>
      </w:r>
      <w:r>
        <w:rPr>
          <w:sz w:val="19"/>
        </w:rPr>
        <w:softHyphen/>
        <w:t>ding in het oostelijk ge</w:t>
      </w:r>
      <w:r>
        <w:rPr>
          <w:sz w:val="19"/>
        </w:rPr>
        <w:softHyphen/>
        <w:t>legen deel van de cijns</w:t>
      </w:r>
      <w:r>
        <w:rPr>
          <w:sz w:val="19"/>
        </w:rPr>
        <w:softHyphen/>
        <w:t>kring. De ouderdom van de Aa is moeilijk te bepalen. Men vermoedt het ontstaan ervan rond het reeds eerder genoemde Weichselien, zo’n 10.000 jaren geleden. De Aa wordt tussen de cijns</w:t>
      </w:r>
      <w:r>
        <w:rPr>
          <w:sz w:val="19"/>
        </w:rPr>
        <w:softHyphen/>
        <w:t>kringdorpen Someren en Middelrode gevoed door de volgende zijstroompjes of beken: de Kleine Aa, de Overakkerseloop, de Soeloop, de Astense Aa, de Oude Aa, de Bakelse Aa, de Vlier, de Kaweiseloop, de Goor</w:t>
      </w:r>
      <w:r>
        <w:rPr>
          <w:sz w:val="19"/>
        </w:rPr>
        <w:softHyphen/>
        <w:t>loop, de Esper</w:t>
      </w:r>
      <w:r>
        <w:rPr>
          <w:sz w:val="19"/>
        </w:rPr>
        <w:softHyphen/>
        <w:t>loop, de Snelle loop, de Donkervoortseloop, de Peelseloop, de Leigraaf, de Steeg</w:t>
      </w:r>
      <w:r>
        <w:rPr>
          <w:sz w:val="19"/>
        </w:rPr>
        <w:softHyphen/>
        <w:t>seloop en de Biezenloop. De cijns</w:t>
      </w:r>
      <w:r>
        <w:rPr>
          <w:sz w:val="19"/>
        </w:rPr>
        <w:softHyphen/>
        <w:t>kringdorpen die in het Aadal liggen zijn Someren, Lier</w:t>
      </w:r>
      <w:r>
        <w:rPr>
          <w:sz w:val="19"/>
        </w:rPr>
        <w:softHyphen/>
        <w:t>op, Vlier</w:t>
      </w:r>
      <w:r>
        <w:rPr>
          <w:sz w:val="19"/>
        </w:rPr>
        <w:softHyphen/>
        <w:t>den, Deurne, Stiphout, Hel</w:t>
      </w:r>
      <w:r>
        <w:rPr>
          <w:sz w:val="19"/>
        </w:rPr>
        <w:softHyphen/>
        <w:t>mond, Aarle-Rixtel, Beek en Donk, Erp, Veg</w:t>
      </w:r>
      <w:r>
        <w:rPr>
          <w:sz w:val="19"/>
        </w:rPr>
        <w:softHyphen/>
        <w:t>hel, Middelrode en ten</w:t>
      </w:r>
      <w:r>
        <w:rPr>
          <w:sz w:val="19"/>
        </w:rPr>
        <w:softHyphen/>
        <w:t>slotte Sch</w:t>
      </w:r>
      <w:r>
        <w:rPr>
          <w:sz w:val="19"/>
        </w:rPr>
        <w:softHyphen/>
        <w:t>ijn</w:t>
      </w:r>
      <w:r>
        <w:rPr>
          <w:sz w:val="19"/>
        </w:rPr>
        <w:softHyphen/>
        <w:t>del. Voor zowel de Dommel als de Aa gold dat ze niet in staat waren om het afstromende regenwater adequaat te ve</w:t>
      </w:r>
      <w:r>
        <w:rPr>
          <w:sz w:val="19"/>
        </w:rPr>
        <w:t>r</w:t>
      </w:r>
      <w:r>
        <w:rPr>
          <w:sz w:val="19"/>
        </w:rPr>
        <w:t>zet</w:t>
      </w:r>
      <w:r>
        <w:rPr>
          <w:sz w:val="19"/>
        </w:rPr>
        <w:softHyphen/>
        <w:t>ten, waardoor wateroverlast ont</w:t>
      </w:r>
      <w:r>
        <w:rPr>
          <w:sz w:val="19"/>
        </w:rPr>
        <w:softHyphen/>
        <w:t>stond. Deze was zelfs op de hoger gelegen plaatsen soms merkbaar. Over</w:t>
      </w:r>
      <w:r>
        <w:rPr>
          <w:sz w:val="19"/>
        </w:rPr>
        <w:softHyphen/>
        <w:t>stromingen kwamen regelmatig voor. Een van de directe oorzaken was de terreinge</w:t>
      </w:r>
      <w:r>
        <w:rPr>
          <w:sz w:val="19"/>
        </w:rPr>
        <w:softHyphen/>
        <w:t>steldheid zelf. Zo vormde de dekzand</w:t>
      </w:r>
      <w:r>
        <w:rPr>
          <w:sz w:val="19"/>
        </w:rPr>
        <w:softHyphen/>
        <w:t>rug een belemmering aangezien de riviertjes hun water hier slechts via een smalle be</w:t>
      </w:r>
      <w:r>
        <w:rPr>
          <w:sz w:val="19"/>
        </w:rPr>
        <w:t>d</w:t>
      </w:r>
      <w:r>
        <w:rPr>
          <w:sz w:val="19"/>
        </w:rPr>
        <w:t>ding konden afvoeren. Een ander probleem vormden de obsta</w:t>
      </w:r>
      <w:r>
        <w:rPr>
          <w:sz w:val="19"/>
        </w:rPr>
        <w:softHyphen/>
        <w:t>kels in de beken zelf, zoals ondiepten, mea</w:t>
      </w:r>
      <w:r>
        <w:rPr>
          <w:sz w:val="19"/>
        </w:rPr>
        <w:t>n</w:t>
      </w:r>
      <w:r>
        <w:rPr>
          <w:sz w:val="19"/>
        </w:rPr>
        <w:t>ders en sluizen bij wa</w:t>
      </w:r>
      <w:r>
        <w:rPr>
          <w:sz w:val="19"/>
        </w:rPr>
        <w:softHyphen/>
        <w:t>termolens. De bouw van de vele water</w:t>
      </w:r>
      <w:r>
        <w:rPr>
          <w:sz w:val="19"/>
        </w:rPr>
        <w:softHyphen/>
        <w:t>molens in beide beekda</w:t>
      </w:r>
      <w:r>
        <w:rPr>
          <w:sz w:val="19"/>
        </w:rPr>
        <w:softHyphen/>
        <w:t>len heeft het euvel niet kunnen oplos</w:t>
      </w:r>
      <w:r>
        <w:rPr>
          <w:sz w:val="19"/>
        </w:rPr>
        <w:softHyphen/>
        <w:t>sen. Men bouwde onder</w:t>
      </w:r>
      <w:r>
        <w:rPr>
          <w:sz w:val="19"/>
        </w:rPr>
        <w:softHyphen/>
        <w:t>slagmo</w:t>
      </w:r>
      <w:r>
        <w:rPr>
          <w:sz w:val="19"/>
        </w:rPr>
        <w:softHyphen/>
        <w:t>lens, d.w.z. molens die aangedreven werden door een water</w:t>
      </w:r>
      <w:r>
        <w:rPr>
          <w:sz w:val="19"/>
        </w:rPr>
        <w:softHyphen/>
        <w:t>stroom, die tegen de schoe</w:t>
      </w:r>
      <w:r>
        <w:rPr>
          <w:sz w:val="19"/>
        </w:rPr>
        <w:softHyphen/>
        <w:t>pen aan de onderzijde van het waterrad drukte. Deze watermolens zorgden voor een opstu</w:t>
      </w:r>
      <w:r>
        <w:rPr>
          <w:sz w:val="19"/>
        </w:rPr>
        <w:softHyphen/>
        <w:t>wing van het water</w:t>
      </w:r>
      <w:r>
        <w:rPr>
          <w:sz w:val="19"/>
        </w:rPr>
        <w:softHyphen/>
        <w:t>peil en een vertraging in de waterafvoer. Dit was voor de hoger gelegen a</w:t>
      </w:r>
      <w:r>
        <w:rPr>
          <w:sz w:val="19"/>
        </w:rPr>
        <w:t>k</w:t>
      </w:r>
      <w:r>
        <w:rPr>
          <w:sz w:val="19"/>
        </w:rPr>
        <w:t>kers- en weilanden soms rampza</w:t>
      </w:r>
      <w:r>
        <w:rPr>
          <w:sz w:val="19"/>
        </w:rPr>
        <w:softHyphen/>
        <w:t>lig, temeer daar de oevers van de rivieren laag waren. De molenvermel</w:t>
      </w:r>
      <w:r>
        <w:rPr>
          <w:sz w:val="19"/>
        </w:rPr>
        <w:softHyphen/>
        <w:t>dingen in dit gebied beves</w:t>
      </w:r>
      <w:r>
        <w:rPr>
          <w:sz w:val="19"/>
        </w:rPr>
        <w:softHyphen/>
        <w:t>ti</w:t>
      </w:r>
      <w:r>
        <w:rPr>
          <w:sz w:val="19"/>
        </w:rPr>
        <w:softHyphen/>
        <w:t>gen de bouw van watermolens al vanaf de 12</w:t>
      </w:r>
      <w:r>
        <w:rPr>
          <w:sz w:val="16"/>
          <w:vertAlign w:val="superscript"/>
        </w:rPr>
        <w:t>de</w:t>
      </w:r>
      <w:r>
        <w:rPr>
          <w:sz w:val="19"/>
        </w:rPr>
        <w:t xml:space="preserve"> eeuw, gelet op de oudste vermel</w:t>
      </w:r>
      <w:r>
        <w:rPr>
          <w:sz w:val="19"/>
        </w:rPr>
        <w:softHyphen/>
        <w:t>ding in het sch</w:t>
      </w:r>
      <w:r>
        <w:rPr>
          <w:sz w:val="19"/>
        </w:rPr>
        <w:softHyphen/>
        <w:t>ri</w:t>
      </w:r>
      <w:r>
        <w:rPr>
          <w:sz w:val="19"/>
        </w:rPr>
        <w:softHyphen/>
        <w:t>ftelijk bron</w:t>
      </w:r>
      <w:r>
        <w:rPr>
          <w:sz w:val="19"/>
        </w:rPr>
        <w:softHyphen/>
        <w:t>nenmateriaal. Dit is overigens een rela</w:t>
      </w:r>
      <w:r>
        <w:rPr>
          <w:sz w:val="19"/>
        </w:rPr>
        <w:softHyphen/>
        <w:t>tief gegeven. Het is niet uitgesloten dat er onder de Peellandse watermolens enkele zijn die kunnen bogen op een zeer hoge ouderdom, omdat ze we</w:t>
      </w:r>
      <w:r>
        <w:rPr>
          <w:sz w:val="19"/>
        </w:rPr>
        <w:t>l</w:t>
      </w:r>
      <w:r>
        <w:rPr>
          <w:sz w:val="19"/>
        </w:rPr>
        <w:t>licht werden opgericht door de invloed</w:t>
      </w:r>
      <w:r>
        <w:rPr>
          <w:sz w:val="19"/>
        </w:rPr>
        <w:softHyphen/>
        <w:t>rijke kloosters Echternach en St.Truiden of hun leenmannen ter plaatse. Hier</w:t>
      </w:r>
      <w:r>
        <w:rPr>
          <w:sz w:val="19"/>
        </w:rPr>
        <w:softHyphen/>
        <w:t>bij wordt m.n. gedacht aan de molen op Ruth onder Vlierden en de molens te Coll en Opwe</w:t>
      </w:r>
      <w:r>
        <w:rPr>
          <w:sz w:val="19"/>
        </w:rPr>
        <w:t>t</w:t>
      </w:r>
      <w:r>
        <w:rPr>
          <w:sz w:val="19"/>
        </w:rPr>
        <w:t>ten. Ten tijde van de Karolin</w:t>
      </w:r>
      <w:r>
        <w:rPr>
          <w:sz w:val="19"/>
        </w:rPr>
        <w:softHyphen/>
        <w:t>gische vorsten was men in staat water</w:t>
      </w:r>
      <w:r>
        <w:rPr>
          <w:sz w:val="19"/>
        </w:rPr>
        <w:softHyphen/>
        <w:t>mo</w:t>
      </w:r>
      <w:r>
        <w:rPr>
          <w:sz w:val="19"/>
        </w:rPr>
        <w:softHyphen/>
        <w:t>lens te bou</w:t>
      </w:r>
      <w:r>
        <w:rPr>
          <w:sz w:val="19"/>
        </w:rPr>
        <w:softHyphen/>
        <w:t>wen; in de Romeinse per</w:t>
      </w:r>
      <w:r>
        <w:rPr>
          <w:sz w:val="19"/>
        </w:rPr>
        <w:t>i</w:t>
      </w:r>
      <w:r>
        <w:rPr>
          <w:sz w:val="19"/>
        </w:rPr>
        <w:t>o</w:t>
      </w:r>
      <w:r>
        <w:rPr>
          <w:sz w:val="19"/>
        </w:rPr>
        <w:softHyphen/>
        <w:t>de was een watermo</w:t>
      </w:r>
      <w:r>
        <w:rPr>
          <w:sz w:val="19"/>
        </w:rPr>
        <w:softHyphen/>
        <w:t>len</w:t>
      </w:r>
      <w:r>
        <w:rPr>
          <w:sz w:val="19"/>
        </w:rPr>
        <w:softHyphen/>
        <w:t>type met een verti</w:t>
      </w:r>
      <w:r>
        <w:rPr>
          <w:sz w:val="19"/>
        </w:rPr>
        <w:softHyphen/>
        <w:t>caal waterrad ontwikkeld,dat in de 5</w:t>
      </w:r>
      <w:r>
        <w:rPr>
          <w:sz w:val="16"/>
          <w:vertAlign w:val="superscript"/>
        </w:rPr>
        <w:t>de</w:t>
      </w:r>
      <w:r>
        <w:rPr>
          <w:sz w:val="19"/>
        </w:rPr>
        <w:t xml:space="preserve"> en 6</w:t>
      </w:r>
      <w:r>
        <w:rPr>
          <w:sz w:val="16"/>
          <w:vertAlign w:val="superscript"/>
        </w:rPr>
        <w:t>de</w:t>
      </w:r>
      <w:r>
        <w:rPr>
          <w:sz w:val="19"/>
        </w:rPr>
        <w:t xml:space="preserve"> eeuw op grotere schaal door</w:t>
      </w:r>
      <w:r>
        <w:rPr>
          <w:sz w:val="19"/>
        </w:rPr>
        <w:softHyphen/>
        <w:t>drong in West-Europa. In de cijns</w:t>
      </w:r>
      <w:r>
        <w:rPr>
          <w:sz w:val="19"/>
        </w:rPr>
        <w:softHyphen/>
        <w:t xml:space="preserve">kring zijn onder meer bekend: </w:t>
      </w:r>
    </w:p>
    <w:p w14:paraId="65400B6F" w14:textId="77777777" w:rsidR="00000000" w:rsidRDefault="00000000" w:rsidP="00D70A75">
      <w:pPr>
        <w:numPr>
          <w:ilvl w:val="0"/>
          <w:numId w:val="2"/>
        </w:numPr>
        <w:tabs>
          <w:tab w:val="left" w:pos="-1440"/>
          <w:tab w:val="left" w:pos="-720"/>
        </w:tabs>
        <w:rPr>
          <w:sz w:val="19"/>
        </w:rPr>
      </w:pPr>
      <w:r>
        <w:rPr>
          <w:sz w:val="19"/>
        </w:rPr>
        <w:t>Antsel/Autsel, Liempde, Grote Loop, 1374</w:t>
      </w:r>
    </w:p>
    <w:p w14:paraId="65038773" w14:textId="77777777" w:rsidR="00000000" w:rsidRDefault="00000000" w:rsidP="00D70A75">
      <w:pPr>
        <w:numPr>
          <w:ilvl w:val="0"/>
          <w:numId w:val="2"/>
        </w:numPr>
        <w:tabs>
          <w:tab w:val="left" w:pos="-1440"/>
          <w:tab w:val="left" w:pos="-720"/>
        </w:tabs>
        <w:rPr>
          <w:sz w:val="19"/>
        </w:rPr>
      </w:pPr>
      <w:r>
        <w:rPr>
          <w:sz w:val="19"/>
        </w:rPr>
        <w:t>Belgeren, Asten/Vlierden [2], Astense Aa, 1372</w:t>
      </w:r>
    </w:p>
    <w:p w14:paraId="537036B8" w14:textId="77777777" w:rsidR="00000000" w:rsidRDefault="00000000" w:rsidP="00D70A75">
      <w:pPr>
        <w:numPr>
          <w:ilvl w:val="0"/>
          <w:numId w:val="2"/>
        </w:numPr>
        <w:tabs>
          <w:tab w:val="left" w:pos="-1440"/>
          <w:tab w:val="left" w:pos="-720"/>
        </w:tabs>
        <w:rPr>
          <w:sz w:val="19"/>
        </w:rPr>
      </w:pPr>
      <w:r>
        <w:rPr>
          <w:sz w:val="19"/>
        </w:rPr>
        <w:t>Bergmolen, Son en Breugel, Dommel, 1273</w:t>
      </w:r>
    </w:p>
    <w:p w14:paraId="12F018EC" w14:textId="77777777" w:rsidR="00000000" w:rsidRDefault="00000000" w:rsidP="00D70A75">
      <w:pPr>
        <w:numPr>
          <w:ilvl w:val="0"/>
          <w:numId w:val="2"/>
        </w:numPr>
        <w:tabs>
          <w:tab w:val="left" w:pos="-1440"/>
          <w:tab w:val="left" w:pos="-720"/>
        </w:tabs>
        <w:rPr>
          <w:sz w:val="19"/>
        </w:rPr>
      </w:pPr>
      <w:r>
        <w:rPr>
          <w:sz w:val="19"/>
        </w:rPr>
        <w:t>Borchmolen, St.Oedenrode, Dommel, 1340</w:t>
      </w:r>
    </w:p>
    <w:p w14:paraId="1FF8D4AD" w14:textId="77777777" w:rsidR="00000000" w:rsidRDefault="00000000" w:rsidP="00D70A75">
      <w:pPr>
        <w:numPr>
          <w:ilvl w:val="0"/>
          <w:numId w:val="2"/>
        </w:numPr>
        <w:tabs>
          <w:tab w:val="left" w:pos="-1440"/>
          <w:tab w:val="left" w:pos="-720"/>
        </w:tabs>
        <w:rPr>
          <w:sz w:val="19"/>
        </w:rPr>
      </w:pPr>
      <w:r>
        <w:rPr>
          <w:sz w:val="19"/>
        </w:rPr>
        <w:t>Boortermolen, Son en Breugel, Dommel, 1257</w:t>
      </w:r>
    </w:p>
    <w:p w14:paraId="2803BA81" w14:textId="77777777" w:rsidR="00000000" w:rsidRDefault="00000000" w:rsidP="00D70A75">
      <w:pPr>
        <w:numPr>
          <w:ilvl w:val="0"/>
          <w:numId w:val="2"/>
        </w:numPr>
        <w:tabs>
          <w:tab w:val="left" w:pos="-1440"/>
          <w:tab w:val="left" w:pos="-720"/>
        </w:tabs>
        <w:rPr>
          <w:sz w:val="19"/>
        </w:rPr>
      </w:pPr>
      <w:r>
        <w:rPr>
          <w:sz w:val="19"/>
        </w:rPr>
        <w:t>Casteren, Liempde, Dommel, 1340</w:t>
      </w:r>
    </w:p>
    <w:p w14:paraId="3216AF8B" w14:textId="77777777" w:rsidR="00000000" w:rsidRDefault="00000000" w:rsidP="00D70A75">
      <w:pPr>
        <w:numPr>
          <w:ilvl w:val="0"/>
          <w:numId w:val="2"/>
        </w:numPr>
        <w:tabs>
          <w:tab w:val="left" w:pos="-1440"/>
          <w:tab w:val="left" w:pos="-720"/>
        </w:tabs>
        <w:rPr>
          <w:sz w:val="19"/>
        </w:rPr>
      </w:pPr>
      <w:r>
        <w:rPr>
          <w:sz w:val="19"/>
        </w:rPr>
        <w:t>Coll, Tongelre, Kleine Dommel, 1337</w:t>
      </w:r>
    </w:p>
    <w:p w14:paraId="2B5948AE" w14:textId="77777777" w:rsidR="00000000" w:rsidRDefault="00000000" w:rsidP="00D70A75">
      <w:pPr>
        <w:numPr>
          <w:ilvl w:val="0"/>
          <w:numId w:val="2"/>
        </w:numPr>
        <w:tabs>
          <w:tab w:val="left" w:pos="-1440"/>
          <w:tab w:val="left" w:pos="-720"/>
        </w:tabs>
        <w:rPr>
          <w:sz w:val="19"/>
        </w:rPr>
      </w:pPr>
      <w:r>
        <w:rPr>
          <w:sz w:val="19"/>
        </w:rPr>
        <w:t>...., Erp, Erpse Aa, 1400</w:t>
      </w:r>
    </w:p>
    <w:p w14:paraId="1B46053E" w14:textId="77777777" w:rsidR="0085557C" w:rsidRDefault="00000000" w:rsidP="00D70A75">
      <w:pPr>
        <w:numPr>
          <w:ilvl w:val="0"/>
          <w:numId w:val="2"/>
        </w:numPr>
        <w:tabs>
          <w:tab w:val="left" w:pos="-1440"/>
          <w:tab w:val="left" w:pos="-720"/>
        </w:tabs>
        <w:rPr>
          <w:sz w:val="19"/>
        </w:rPr>
      </w:pPr>
      <w:r>
        <w:rPr>
          <w:sz w:val="19"/>
        </w:rPr>
        <w:t>Haageind, Deurne, Vlier, 1389</w:t>
      </w:r>
    </w:p>
    <w:sectPr w:rsidR="0085557C">
      <w:headerReference w:type="even" r:id="rId10"/>
      <w:headerReference w:type="default" r:id="rId11"/>
      <w:type w:val="continuous"/>
      <w:pgSz w:w="11907" w:h="16840" w:code="9"/>
      <w:pgMar w:top="1418" w:right="1418" w:bottom="1134" w:left="2268" w:header="567" w:footer="284" w:gutter="0"/>
      <w:pgNumType w:fmt="lowerRoman" w:start="32"/>
      <w:cols w:space="567"/>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49A7F" w14:textId="77777777" w:rsidR="0085557C" w:rsidRDefault="0085557C">
      <w:r>
        <w:separator/>
      </w:r>
    </w:p>
  </w:endnote>
  <w:endnote w:type="continuationSeparator" w:id="0">
    <w:p w14:paraId="4154022C" w14:textId="77777777" w:rsidR="0085557C" w:rsidRDefault="00855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FEBB7" w14:textId="77777777" w:rsidR="0085557C" w:rsidRDefault="0085557C">
      <w:r>
        <w:separator/>
      </w:r>
    </w:p>
  </w:footnote>
  <w:footnote w:type="continuationSeparator" w:id="0">
    <w:p w14:paraId="2D6F9550" w14:textId="77777777" w:rsidR="0085557C" w:rsidRDefault="0085557C">
      <w:r>
        <w:continuationSeparator/>
      </w:r>
    </w:p>
  </w:footnote>
  <w:footnote w:id="1">
    <w:p w14:paraId="30C9679B" w14:textId="77777777" w:rsidR="00000000" w:rsidRDefault="00000000">
      <w:pPr>
        <w:pStyle w:val="Voetnoottekst"/>
        <w:rPr>
          <w:sz w:val="16"/>
        </w:rPr>
      </w:pPr>
      <w:r>
        <w:rPr>
          <w:rStyle w:val="Voetnootmarkering"/>
          <w:sz w:val="16"/>
        </w:rPr>
        <w:t>*</w:t>
      </w:r>
      <w:r>
        <w:rPr>
          <w:sz w:val="16"/>
        </w:rPr>
        <w:t xml:space="preserve"> </w:t>
      </w:r>
      <w:r>
        <w:rPr>
          <w:rFonts w:ascii="Times New Roman" w:hAnsi="Times New Roman"/>
          <w:sz w:val="16"/>
        </w:rPr>
        <w:t>Dit hoofdstuk is gebaseerd op de in de literatuurlijst vermelde werken.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96EE7" w14:textId="77777777" w:rsidR="00000000" w:rsidRDefault="00000000">
    <w:pPr>
      <w:pStyle w:val="Koptekst"/>
      <w:framePr w:wrap="around" w:vAnchor="text" w:hAnchor="margin" w:xAlign="outside" w:y="1"/>
      <w:rPr>
        <w:rStyle w:val="Paginanummer"/>
      </w:rPr>
    </w:pPr>
    <w:r>
      <w:rPr>
        <w:rStyle w:val="Paginanummer"/>
      </w:rPr>
      <w:fldChar w:fldCharType="begin"/>
    </w:r>
    <w:r>
      <w:rPr>
        <w:rStyle w:val="Paginanummer"/>
      </w:rPr>
      <w:instrText xml:space="preserve">PAGE  </w:instrText>
    </w:r>
    <w:r>
      <w:rPr>
        <w:rStyle w:val="Paginanummer"/>
      </w:rPr>
      <w:fldChar w:fldCharType="end"/>
    </w:r>
  </w:p>
  <w:p w14:paraId="4C90715A" w14:textId="77777777" w:rsidR="00000000" w:rsidRDefault="00000000">
    <w:pPr>
      <w:pStyle w:val="Koptekst"/>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4CEF2" w14:textId="77777777" w:rsidR="00000000" w:rsidRDefault="00000000">
    <w:pPr>
      <w:pStyle w:val="Koptekst"/>
      <w:framePr w:wrap="around" w:vAnchor="text" w:hAnchor="margin" w:xAlign="outside" w:y="1"/>
      <w:rPr>
        <w:rStyle w:val="Paginanummer"/>
        <w:rFonts w:ascii="Times New Roman" w:hAnsi="Times New Roman"/>
        <w:i/>
        <w:sz w:val="16"/>
      </w:rPr>
    </w:pPr>
    <w:r>
      <w:rPr>
        <w:rStyle w:val="Paginanummer"/>
        <w:rFonts w:ascii="Times New Roman" w:hAnsi="Times New Roman"/>
        <w:i/>
        <w:sz w:val="16"/>
      </w:rPr>
      <w:fldChar w:fldCharType="begin"/>
    </w:r>
    <w:r>
      <w:rPr>
        <w:rStyle w:val="Paginanummer"/>
        <w:rFonts w:ascii="Times New Roman" w:hAnsi="Times New Roman"/>
        <w:i/>
        <w:sz w:val="16"/>
      </w:rPr>
      <w:instrText xml:space="preserve">PAGE  </w:instrText>
    </w:r>
    <w:r>
      <w:rPr>
        <w:rStyle w:val="Paginanummer"/>
        <w:rFonts w:ascii="Times New Roman" w:hAnsi="Times New Roman"/>
        <w:i/>
        <w:sz w:val="16"/>
      </w:rPr>
      <w:fldChar w:fldCharType="separate"/>
    </w:r>
    <w:r>
      <w:rPr>
        <w:rStyle w:val="Paginanummer"/>
        <w:rFonts w:ascii="Times New Roman" w:hAnsi="Times New Roman"/>
        <w:i/>
        <w:noProof/>
        <w:sz w:val="16"/>
      </w:rPr>
      <w:t>xxxii</w:t>
    </w:r>
    <w:r>
      <w:rPr>
        <w:rStyle w:val="Paginanummer"/>
        <w:rFonts w:ascii="Times New Roman" w:hAnsi="Times New Roman"/>
        <w:i/>
        <w:sz w:val="16"/>
      </w:rPr>
      <w:fldChar w:fldCharType="end"/>
    </w:r>
  </w:p>
  <w:p w14:paraId="57F3FA1F" w14:textId="77777777" w:rsidR="00000000" w:rsidRDefault="00000000">
    <w:pPr>
      <w:pStyle w:val="Koptekst"/>
      <w:ind w:right="360"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FD854D6"/>
    <w:lvl w:ilvl="0">
      <w:numFmt w:val="bullet"/>
      <w:lvlText w:val="*"/>
      <w:lvlJc w:val="left"/>
    </w:lvl>
  </w:abstractNum>
  <w:abstractNum w:abstractNumId="1" w15:restartNumberingAfterBreak="0">
    <w:nsid w:val="481223FC"/>
    <w:multiLevelType w:val="singleLevel"/>
    <w:tmpl w:val="A4FE33E4"/>
    <w:lvl w:ilvl="0">
      <w:start w:val="1"/>
      <w:numFmt w:val="decimal"/>
      <w:lvlText w:val="(%1) "/>
      <w:legacy w:legacy="1" w:legacySpace="0" w:legacyIndent="283"/>
      <w:lvlJc w:val="left"/>
      <w:pPr>
        <w:ind w:left="283" w:hanging="283"/>
      </w:pPr>
      <w:rPr>
        <w:rFonts w:ascii="Times New Roman" w:hAnsi="Times New Roman" w:cs="Times New Roman" w:hint="default"/>
        <w:b w:val="0"/>
        <w:i w:val="0"/>
        <w:sz w:val="19"/>
        <w:u w:val="none"/>
      </w:rPr>
    </w:lvl>
  </w:abstractNum>
  <w:num w:numId="1" w16cid:durableId="67576297">
    <w:abstractNumId w:val="0"/>
    <w:lvlOverride w:ilvl="0">
      <w:lvl w:ilvl="0">
        <w:start w:val="1"/>
        <w:numFmt w:val="bullet"/>
        <w:lvlText w:val="*"/>
        <w:legacy w:legacy="1" w:legacySpace="0" w:legacyIndent="283"/>
        <w:lvlJc w:val="left"/>
        <w:pPr>
          <w:ind w:left="283" w:hanging="283"/>
        </w:pPr>
        <w:rPr>
          <w:rFonts w:ascii="Times New Roman" w:hAnsi="Times New Roman" w:cs="Times New Roman" w:hint="default"/>
          <w:b w:val="0"/>
          <w:i w:val="0"/>
          <w:u w:val="none"/>
        </w:rPr>
      </w:lvl>
    </w:lvlOverride>
  </w:num>
  <w:num w:numId="2" w16cid:durableId="282158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oNotTrackMoves/>
  <w:defaultTabStop w:val="708"/>
  <w:autoHyphenation/>
  <w:hyphenationZone w:val="142"/>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E7CE8"/>
    <w:rsid w:val="003E7CE8"/>
    <w:rsid w:val="0085557C"/>
    <w:rsid w:val="00D70A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E025B4"/>
  <w15:chartTrackingRefBased/>
  <w15:docId w15:val="{4051B9BB-6C7C-472F-8432-6159AFE1F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jc w:val="both"/>
      <w:textAlignment w:val="baseline"/>
    </w:pPr>
  </w:style>
  <w:style w:type="paragraph" w:styleId="Kop1">
    <w:name w:val="heading 1"/>
    <w:basedOn w:val="Standaard"/>
    <w:next w:val="Standaard"/>
    <w:qFormat/>
    <w:pPr>
      <w:keepNext/>
      <w:spacing w:before="240" w:after="60"/>
      <w:outlineLvl w:val="0"/>
    </w:pPr>
    <w:rPr>
      <w:rFonts w:ascii="Arial" w:hAnsi="Arial"/>
      <w:b/>
      <w:kern w:val="28"/>
      <w:sz w:val="28"/>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oetnootmarkering">
    <w:name w:val="footnote reference"/>
    <w:semiHidden/>
    <w:rPr>
      <w:vertAlign w:val="superscript"/>
    </w:rPr>
  </w:style>
  <w:style w:type="character" w:styleId="Paginanummer">
    <w:name w:val="page number"/>
    <w:basedOn w:val="Standaardalinea-lettertype"/>
    <w:semiHidden/>
  </w:style>
  <w:style w:type="paragraph" w:styleId="Voetnoottekst">
    <w:name w:val="footnote text"/>
    <w:basedOn w:val="Standaard"/>
    <w:semiHidden/>
    <w:pPr>
      <w:widowControl w:val="0"/>
      <w:jc w:val="left"/>
    </w:pPr>
    <w:rPr>
      <w:rFonts w:ascii="Courier New" w:hAnsi="Courier New"/>
      <w:sz w:val="24"/>
      <w:lang w:val="nl"/>
    </w:rPr>
  </w:style>
  <w:style w:type="paragraph" w:styleId="Koptekst">
    <w:name w:val="header"/>
    <w:basedOn w:val="Standaard"/>
    <w:semiHidden/>
    <w:pPr>
      <w:widowControl w:val="0"/>
      <w:tabs>
        <w:tab w:val="center" w:pos="4536"/>
        <w:tab w:val="right" w:pos="9072"/>
      </w:tabs>
      <w:jc w:val="left"/>
    </w:pPr>
    <w:rPr>
      <w:rFonts w:ascii="Courier New" w:hAnsi="Courier New"/>
      <w:sz w:val="24"/>
      <w:lang w:val="nl"/>
    </w:rPr>
  </w:style>
  <w:style w:type="paragraph" w:styleId="Lijst">
    <w:name w:val="List"/>
    <w:basedOn w:val="Standaard"/>
    <w:semiHidden/>
    <w:pPr>
      <w:ind w:left="283" w:hanging="283"/>
    </w:pPr>
  </w:style>
  <w:style w:type="paragraph" w:styleId="Lijstopsomteken">
    <w:name w:val="List Bullet"/>
    <w:basedOn w:val="Standaard"/>
    <w:semiHidden/>
    <w:pPr>
      <w:ind w:left="283" w:hanging="283"/>
    </w:pPr>
  </w:style>
  <w:style w:type="paragraph" w:styleId="Plattetekst">
    <w:name w:val="Body Text"/>
    <w:basedOn w:val="Standaard"/>
    <w:semiHidden/>
    <w:pPr>
      <w:spacing w:after="120"/>
    </w:pPr>
  </w:style>
  <w:style w:type="paragraph" w:styleId="Voettekst">
    <w:name w:val="footer"/>
    <w:basedOn w:val="Standaard"/>
    <w:semiHidden/>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2853</Words>
  <Characters>15697</Characters>
  <Application>Microsoft Office Word</Application>
  <DocSecurity>0</DocSecurity>
  <Lines>130</Lines>
  <Paragraphs>37</Paragraphs>
  <ScaleCrop>false</ScaleCrop>
  <Company>Van Bussel Document Services</Company>
  <LinksUpToDate>false</LinksUpToDate>
  <CharactersWithSpaces>18513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CIJNSKRING HELMOND IN PERSPECTIEF* </dc:title>
  <dc:subject/>
  <dc:creator>Geert-Jan van Bussel</dc:creator>
  <cp:keywords/>
  <dc:description/>
  <cp:lastModifiedBy>Sandra Snoeks</cp:lastModifiedBy>
  <cp:revision>2</cp:revision>
  <cp:lastPrinted>1996-10-26T10:25:00Z</cp:lastPrinted>
  <dcterms:created xsi:type="dcterms:W3CDTF">2026-10-24T12:14:00Z</dcterms:created>
  <dcterms:modified xsi:type="dcterms:W3CDTF">2026-10-24T12:14:00Z</dcterms:modified>
</cp:coreProperties>
</file>